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0FB7" w14:textId="77777777" w:rsidR="00743D06" w:rsidRPr="008B1D9C" w:rsidRDefault="00743D06" w:rsidP="00B14EDB">
      <w:pPr>
        <w:ind w:right="-810"/>
        <w:jc w:val="right"/>
        <w:rPr>
          <w:rFonts w:cs="Arial"/>
          <w:b/>
          <w:bCs/>
          <w:color w:val="4F198C"/>
          <w:sz w:val="36"/>
          <w:szCs w:val="36"/>
        </w:rPr>
      </w:pPr>
      <w:r w:rsidRPr="008B1D9C"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6EFB3C" wp14:editId="668E616B">
            <wp:simplePos x="0" y="0"/>
            <wp:positionH relativeFrom="column">
              <wp:posOffset>-480695</wp:posOffset>
            </wp:positionH>
            <wp:positionV relativeFrom="paragraph">
              <wp:posOffset>-216029</wp:posOffset>
            </wp:positionV>
            <wp:extent cx="3100705" cy="791845"/>
            <wp:effectExtent l="0" t="0" r="0" b="0"/>
            <wp:wrapNone/>
            <wp:docPr id="216768523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68523" name="Picture 1" descr="A purple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9C">
        <w:rPr>
          <w:rFonts w:cs="Arial"/>
          <w:b/>
          <w:bCs/>
          <w:color w:val="4F198C"/>
          <w:sz w:val="36"/>
          <w:szCs w:val="36"/>
        </w:rPr>
        <w:t>Coursework Planning Form: Faculty</w:t>
      </w:r>
    </w:p>
    <w:p w14:paraId="1496A10C" w14:textId="7E47750F" w:rsidR="00743D06" w:rsidRPr="00F275F4" w:rsidRDefault="00195D8A" w:rsidP="00A221D0">
      <w:pPr>
        <w:ind w:left="720" w:right="-810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Program-Wide Use Example</w:t>
      </w:r>
      <w:r w:rsidR="002118EE">
        <w:rPr>
          <w:rFonts w:cs="Arial"/>
          <w:b/>
          <w:bCs/>
          <w:sz w:val="32"/>
          <w:szCs w:val="32"/>
        </w:rPr>
        <w:t>: Intervention Specialist</w:t>
      </w:r>
    </w:p>
    <w:p w14:paraId="71ACFA5C" w14:textId="77777777" w:rsidR="00743D06" w:rsidRDefault="00743D06" w:rsidP="009A4D7F">
      <w:r w:rsidRPr="00976A75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BECB" wp14:editId="1E092FF0">
                <wp:simplePos x="0" y="0"/>
                <wp:positionH relativeFrom="margin">
                  <wp:posOffset>-518795</wp:posOffset>
                </wp:positionH>
                <wp:positionV relativeFrom="paragraph">
                  <wp:posOffset>53340</wp:posOffset>
                </wp:positionV>
                <wp:extent cx="9341708" cy="9144"/>
                <wp:effectExtent l="0" t="0" r="5715" b="381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708" cy="9144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56A6" id="Rectangle 22" o:spid="_x0000_s1026" style="position:absolute;margin-left:-40.85pt;margin-top:4.2pt;width:735.5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125E4B5E" w14:textId="6D87221D" w:rsidR="003B0097" w:rsidRPr="002118EE" w:rsidRDefault="002118EE" w:rsidP="002118EE">
      <w:pPr>
        <w:ind w:left="-810"/>
      </w:pPr>
      <w:r w:rsidRPr="00F275F4">
        <w:t xml:space="preserve">Following is an example of how to coordinate </w:t>
      </w:r>
      <w:r w:rsidR="00195D8A" w:rsidRPr="00195D8A">
        <w:t>the use of IRIS</w:t>
      </w:r>
      <w:r>
        <w:t xml:space="preserve"> resources</w:t>
      </w:r>
      <w:r w:rsidR="00195D8A" w:rsidRPr="00195D8A">
        <w:t xml:space="preserve"> across </w:t>
      </w:r>
      <w:r>
        <w:t>a</w:t>
      </w:r>
      <w:r w:rsidR="00195D8A" w:rsidRPr="00195D8A">
        <w:t xml:space="preserve"> program and courses.</w:t>
      </w:r>
      <w:r w:rsidR="00195D8A" w:rsidRPr="004E4E18">
        <w:rPr>
          <w:rFonts w:ascii="Arial Narrow" w:hAnsi="Arial Narrow" w:cs="Arial"/>
        </w:rPr>
        <w:t xml:space="preserve"> </w:t>
      </w:r>
      <w:r w:rsidR="00195D8A" w:rsidRPr="004E4E18">
        <w:rPr>
          <w:rFonts w:cs="Arial"/>
          <w:szCs w:val="20"/>
        </w:rPr>
        <w:t xml:space="preserve">In the first column, the number and name for </w:t>
      </w:r>
      <w:r w:rsidR="00195D8A" w:rsidRPr="00622300">
        <w:rPr>
          <w:rFonts w:cs="Arial"/>
          <w:szCs w:val="20"/>
        </w:rPr>
        <w:t>each</w:t>
      </w:r>
      <w:r>
        <w:rPr>
          <w:rFonts w:cs="Arial"/>
          <w:szCs w:val="20"/>
        </w:rPr>
        <w:t xml:space="preserve"> is listed</w:t>
      </w:r>
      <w:r w:rsidR="00195D8A" w:rsidRPr="00622300">
        <w:rPr>
          <w:rFonts w:cs="Arial"/>
          <w:szCs w:val="20"/>
        </w:rPr>
        <w:t>. Under each resource type, the resource(s) that will be used in each course</w:t>
      </w:r>
      <w:r>
        <w:rPr>
          <w:rFonts w:cs="Arial"/>
          <w:szCs w:val="20"/>
        </w:rPr>
        <w:t xml:space="preserve"> are listed</w:t>
      </w:r>
      <w:r w:rsidR="00195D8A" w:rsidRPr="0062230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Note that </w:t>
      </w:r>
      <w:r w:rsidR="00195D8A" w:rsidRPr="00622300">
        <w:rPr>
          <w:rFonts w:cs="Arial"/>
          <w:szCs w:val="20"/>
        </w:rPr>
        <w:t>there is no overlap in resources across programs</w:t>
      </w:r>
      <w:r>
        <w:rPr>
          <w:rFonts w:cs="Arial"/>
          <w:szCs w:val="20"/>
        </w:rPr>
        <w:t xml:space="preserve">. </w:t>
      </w:r>
      <w:r w:rsidR="00195D8A" w:rsidRPr="00622300">
        <w:rPr>
          <w:rFonts w:cs="Arial"/>
          <w:szCs w:val="20"/>
        </w:rPr>
        <w:t xml:space="preserve">Additionally, </w:t>
      </w:r>
      <w:r>
        <w:rPr>
          <w:rFonts w:cs="Arial"/>
          <w:szCs w:val="20"/>
        </w:rPr>
        <w:t>note that</w:t>
      </w:r>
      <w:r w:rsidR="00195D8A" w:rsidRPr="00622300">
        <w:rPr>
          <w:rFonts w:cs="Arial"/>
          <w:szCs w:val="20"/>
        </w:rPr>
        <w:t xml:space="preserve"> there is not an overload of IRIS resources across courses offered in the same semester.</w:t>
      </w:r>
      <w:r>
        <w:rPr>
          <w:rFonts w:cs="Arial"/>
          <w:szCs w:val="20"/>
        </w:rPr>
        <w:t xml:space="preserve"> </w:t>
      </w:r>
    </w:p>
    <w:tbl>
      <w:tblPr>
        <w:tblStyle w:val="TableGrid"/>
        <w:tblW w:w="14580" w:type="dxa"/>
        <w:tblInd w:w="-815" w:type="dxa"/>
        <w:tblLayout w:type="fixed"/>
        <w:tblCellMar>
          <w:top w:w="58" w:type="dxa"/>
        </w:tblCellMar>
        <w:tblLook w:val="04A0" w:firstRow="1" w:lastRow="0" w:firstColumn="1" w:lastColumn="0" w:noHBand="0" w:noVBand="1"/>
      </w:tblPr>
      <w:tblGrid>
        <w:gridCol w:w="1890"/>
        <w:gridCol w:w="2340"/>
        <w:gridCol w:w="1800"/>
        <w:gridCol w:w="1620"/>
        <w:gridCol w:w="1890"/>
        <w:gridCol w:w="1890"/>
        <w:gridCol w:w="1710"/>
        <w:gridCol w:w="1440"/>
      </w:tblGrid>
      <w:tr w:rsidR="000D13C3" w:rsidRPr="00F56E02" w14:paraId="00E74086" w14:textId="1AE079AA" w:rsidTr="002618BF">
        <w:trPr>
          <w:tblHeader/>
        </w:trPr>
        <w:tc>
          <w:tcPr>
            <w:tcW w:w="14580" w:type="dxa"/>
            <w:gridSpan w:val="8"/>
            <w:shd w:val="solid" w:color="F2EFFF" w:fill="7030A0"/>
            <w:vAlign w:val="center"/>
          </w:tcPr>
          <w:p w14:paraId="30A83198" w14:textId="1A87D14E" w:rsidR="000D13C3" w:rsidRPr="000C220B" w:rsidRDefault="000D13C3" w:rsidP="000C220B">
            <w:pPr>
              <w:pStyle w:val="TableHeader"/>
            </w:pPr>
            <w:r w:rsidRPr="000D13C3">
              <w:rPr>
                <w:color w:val="auto"/>
                <w:sz w:val="24"/>
                <w:szCs w:val="24"/>
              </w:rPr>
              <w:t>Program Area:</w:t>
            </w:r>
            <w:r w:rsidR="00EE24BF">
              <w:rPr>
                <w:color w:val="auto"/>
                <w:sz w:val="24"/>
                <w:szCs w:val="24"/>
              </w:rPr>
              <w:t xml:space="preserve"> </w:t>
            </w:r>
            <w:r w:rsidR="00692212">
              <w:rPr>
                <w:color w:val="auto"/>
                <w:sz w:val="24"/>
                <w:szCs w:val="24"/>
              </w:rPr>
              <w:t>Intervention Specialist</w:t>
            </w:r>
          </w:p>
        </w:tc>
      </w:tr>
      <w:tr w:rsidR="00342A8A" w:rsidRPr="00F56E02" w14:paraId="3893A2B3" w14:textId="3F836EF5" w:rsidTr="00866E75">
        <w:trPr>
          <w:tblHeader/>
        </w:trPr>
        <w:tc>
          <w:tcPr>
            <w:tcW w:w="1890" w:type="dxa"/>
            <w:shd w:val="solid" w:color="F2EFFF" w:fill="7030A0"/>
          </w:tcPr>
          <w:p w14:paraId="67E76894" w14:textId="5DF27023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866E75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340" w:type="dxa"/>
            <w:shd w:val="solid" w:color="F2EFFF" w:fill="7030A0"/>
          </w:tcPr>
          <w:p w14:paraId="33A3E4F6" w14:textId="69422804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800" w:type="dxa"/>
            <w:shd w:val="solid" w:color="F2EFFF" w:fill="7030A0"/>
          </w:tcPr>
          <w:p w14:paraId="31937A20" w14:textId="1A6D2FCF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Case Studies</w:t>
            </w:r>
          </w:p>
        </w:tc>
        <w:tc>
          <w:tcPr>
            <w:tcW w:w="1620" w:type="dxa"/>
            <w:shd w:val="solid" w:color="F2EFFF" w:fill="7030A0"/>
          </w:tcPr>
          <w:p w14:paraId="01C0DF6B" w14:textId="4104B304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Information Briefs</w:t>
            </w:r>
          </w:p>
        </w:tc>
        <w:tc>
          <w:tcPr>
            <w:tcW w:w="1890" w:type="dxa"/>
            <w:shd w:val="solid" w:color="F2EFFF" w:fill="7030A0"/>
          </w:tcPr>
          <w:p w14:paraId="5F47AB6A" w14:textId="15B3EE66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Fundamental Skill Sheets</w:t>
            </w:r>
          </w:p>
        </w:tc>
        <w:tc>
          <w:tcPr>
            <w:tcW w:w="1890" w:type="dxa"/>
            <w:shd w:val="solid" w:color="F2EFFF" w:fill="7030A0"/>
          </w:tcPr>
          <w:p w14:paraId="5B87ED68" w14:textId="13552EEC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710" w:type="dxa"/>
            <w:shd w:val="solid" w:color="F2EFFF" w:fill="7030A0"/>
          </w:tcPr>
          <w:p w14:paraId="08AB8ED8" w14:textId="79D76498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Interviews</w:t>
            </w:r>
          </w:p>
        </w:tc>
        <w:tc>
          <w:tcPr>
            <w:tcW w:w="1440" w:type="dxa"/>
            <w:shd w:val="solid" w:color="F2EFFF" w:fill="7030A0"/>
          </w:tcPr>
          <w:p w14:paraId="30448592" w14:textId="78F28DF2" w:rsidR="000C220B" w:rsidRPr="000D13C3" w:rsidRDefault="000D13C3" w:rsidP="00866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 Vignettes</w:t>
            </w:r>
          </w:p>
        </w:tc>
      </w:tr>
      <w:tr w:rsidR="00DD2B1B" w:rsidRPr="00F56E02" w14:paraId="20599DA5" w14:textId="4FC50057" w:rsidTr="00087822">
        <w:tc>
          <w:tcPr>
            <w:tcW w:w="1890" w:type="dxa"/>
            <w:shd w:val="clear" w:color="auto" w:fill="auto"/>
          </w:tcPr>
          <w:p w14:paraId="7C95C93D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 xml:space="preserve">SPEDH 7100/7200 Characteristics </w:t>
            </w:r>
          </w:p>
          <w:p w14:paraId="12D589A4" w14:textId="4D38B0DD" w:rsidR="00DD2B1B" w:rsidRPr="00DD2B1B" w:rsidRDefault="00DD2B1B" w:rsidP="00DD2B1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AD8A64D" w14:textId="2AC1D8EB" w:rsidR="000C372A" w:rsidRPr="00432E60" w:rsidRDefault="00000000" w:rsidP="00432E60">
            <w:pPr>
              <w:spacing w:after="240"/>
              <w:rPr>
                <w:rStyle w:val="SmartLink"/>
              </w:rPr>
            </w:pPr>
            <w:hyperlink r:id="rId8" w:history="1">
              <w:r w:rsidR="00DD2B1B" w:rsidRPr="00DD2B1B">
                <w:rPr>
                  <w:rStyle w:val="SmartLink"/>
                </w:rPr>
                <w:t>Executive Functions (Part 1): Understanding Why Some Students Struggle</w:t>
              </w:r>
            </w:hyperlink>
          </w:p>
          <w:p w14:paraId="250E1F8A" w14:textId="41CE73E2" w:rsidR="00DD2B1B" w:rsidRPr="00DD2B1B" w:rsidRDefault="00000000" w:rsidP="00432E60">
            <w:pPr>
              <w:rPr>
                <w:rStyle w:val="SmartLink"/>
              </w:rPr>
            </w:pPr>
            <w:hyperlink r:id="rId9" w:history="1">
              <w:r w:rsidR="00DD2B1B" w:rsidRPr="00DD2B1B">
                <w:rPr>
                  <w:rStyle w:val="SmartLink"/>
                </w:rPr>
                <w:t>Executive Functions (Part 2): Strategies to Improve Students’ Academic Performance</w:t>
              </w:r>
            </w:hyperlink>
          </w:p>
        </w:tc>
        <w:tc>
          <w:tcPr>
            <w:tcW w:w="1800" w:type="dxa"/>
            <w:shd w:val="clear" w:color="auto" w:fill="auto"/>
          </w:tcPr>
          <w:p w14:paraId="29DCA522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620" w:type="dxa"/>
            <w:shd w:val="clear" w:color="auto" w:fill="auto"/>
          </w:tcPr>
          <w:p w14:paraId="10B7E571" w14:textId="28407700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  <w:shd w:val="clear" w:color="auto" w:fill="auto"/>
          </w:tcPr>
          <w:p w14:paraId="4C2202EE" w14:textId="77777777" w:rsidR="00DD2B1B" w:rsidRPr="00DD2B1B" w:rsidRDefault="00000000" w:rsidP="00DD2B1B">
            <w:pPr>
              <w:rPr>
                <w:rStyle w:val="SmartLink"/>
              </w:rPr>
            </w:pPr>
            <w:hyperlink r:id="rId10" w:tgtFrame="_blank" w:history="1">
              <w:r w:rsidR="00DD2B1B" w:rsidRPr="00DD2B1B">
                <w:rPr>
                  <w:rStyle w:val="SmartLink"/>
                </w:rPr>
                <w:t>Wait-Time</w:t>
              </w:r>
            </w:hyperlink>
          </w:p>
          <w:p w14:paraId="79E9DC97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  <w:shd w:val="clear" w:color="auto" w:fill="auto"/>
          </w:tcPr>
          <w:p w14:paraId="11A5C8D1" w14:textId="3D270DBA" w:rsidR="00DD2B1B" w:rsidRPr="00DD2B1B" w:rsidRDefault="00000000" w:rsidP="00432E60">
            <w:pPr>
              <w:spacing w:after="240"/>
              <w:rPr>
                <w:rStyle w:val="SmartLink"/>
              </w:rPr>
            </w:pPr>
            <w:hyperlink r:id="rId11" w:tgtFrame="_blank" w:history="1">
              <w:r w:rsidR="00DD2B1B" w:rsidRPr="00DD2B1B">
                <w:rPr>
                  <w:rStyle w:val="SmartLink"/>
                </w:rPr>
                <w:t>Disability Awareness: Bias and the Law</w:t>
              </w:r>
            </w:hyperlink>
          </w:p>
          <w:p w14:paraId="1BC08412" w14:textId="62A3D820" w:rsidR="00DD2B1B" w:rsidRPr="00DD2B1B" w:rsidRDefault="00000000" w:rsidP="00DD2B1B">
            <w:pPr>
              <w:rPr>
                <w:rStyle w:val="SmartLink"/>
              </w:rPr>
            </w:pPr>
            <w:hyperlink r:id="rId12" w:tgtFrame="_blank" w:history="1">
              <w:r w:rsidR="00DD2B1B" w:rsidRPr="00DD2B1B">
                <w:rPr>
                  <w:rStyle w:val="SmartLink"/>
                </w:rPr>
                <w:t>Graphic Organizers</w:t>
              </w:r>
            </w:hyperlink>
          </w:p>
        </w:tc>
        <w:tc>
          <w:tcPr>
            <w:tcW w:w="1710" w:type="dxa"/>
            <w:shd w:val="clear" w:color="auto" w:fill="auto"/>
          </w:tcPr>
          <w:p w14:paraId="439759B7" w14:textId="7CC0C208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440" w:type="dxa"/>
            <w:shd w:val="clear" w:color="auto" w:fill="auto"/>
          </w:tcPr>
          <w:p w14:paraId="53AADC53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423476BA" w14:textId="5CD34A5F" w:rsidTr="00087822">
        <w:tc>
          <w:tcPr>
            <w:tcW w:w="1890" w:type="dxa"/>
          </w:tcPr>
          <w:p w14:paraId="29018674" w14:textId="5C3B40E5" w:rsidR="00DD2B1B" w:rsidRPr="00A95B54" w:rsidRDefault="00A95B54" w:rsidP="00A95B54">
            <w:pPr>
              <w:rPr>
                <w:rStyle w:val="SmartLink"/>
                <w:rFonts w:ascii="Arial" w:hAnsi="Arial"/>
                <w:color w:val="000000" w:themeColor="text1"/>
                <w:szCs w:val="24"/>
              </w:rPr>
            </w:pPr>
            <w:r w:rsidRPr="00DD2B1B">
              <w:rPr>
                <w:sz w:val="24"/>
                <w:szCs w:val="24"/>
              </w:rPr>
              <w:t>SPEDH 7</w:t>
            </w:r>
            <w:r>
              <w:rPr>
                <w:sz w:val="24"/>
                <w:szCs w:val="24"/>
              </w:rPr>
              <w:t>410</w:t>
            </w:r>
            <w:r w:rsidRPr="00DD2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340" w:type="dxa"/>
          </w:tcPr>
          <w:p w14:paraId="085A27DA" w14:textId="77777777" w:rsidR="00DD2B1B" w:rsidRPr="00DD2B1B" w:rsidRDefault="00000000" w:rsidP="00DD2B1B">
            <w:pPr>
              <w:rPr>
                <w:rStyle w:val="SmartLink"/>
              </w:rPr>
            </w:pPr>
            <w:hyperlink r:id="rId13" w:history="1">
              <w:r w:rsidR="00DD2B1B" w:rsidRPr="00DD2B1B">
                <w:rPr>
                  <w:rStyle w:val="SmartLink"/>
                </w:rPr>
                <w:t>PALS: A Reading Strategy for Grades K–1</w:t>
              </w:r>
            </w:hyperlink>
          </w:p>
          <w:p w14:paraId="05B7943D" w14:textId="77777777" w:rsidR="00DD2B1B" w:rsidRPr="00DD2B1B" w:rsidRDefault="00DD2B1B" w:rsidP="00DD2B1B">
            <w:pPr>
              <w:rPr>
                <w:rStyle w:val="SmartLink"/>
              </w:rPr>
            </w:pPr>
            <w:r w:rsidRPr="00DD2B1B">
              <w:rPr>
                <w:rStyle w:val="SmartLink"/>
              </w:rPr>
              <w:t>OR</w:t>
            </w:r>
          </w:p>
          <w:p w14:paraId="6EBEAAEB" w14:textId="77777777" w:rsidR="00DD2B1B" w:rsidRPr="00DD2B1B" w:rsidRDefault="00000000" w:rsidP="00DD2B1B">
            <w:pPr>
              <w:rPr>
                <w:rStyle w:val="SmartLink"/>
              </w:rPr>
            </w:pPr>
            <w:hyperlink r:id="rId14" w:history="1">
              <w:r w:rsidR="00DD2B1B" w:rsidRPr="00DD2B1B">
                <w:rPr>
                  <w:rStyle w:val="SmartLink"/>
                </w:rPr>
                <w:t>PALS: A Reading Strategy for Grades 2–6</w:t>
              </w:r>
            </w:hyperlink>
          </w:p>
          <w:p w14:paraId="23AFF382" w14:textId="77777777" w:rsidR="00DD2B1B" w:rsidRPr="00DD2B1B" w:rsidRDefault="00DD2B1B" w:rsidP="00DD2B1B">
            <w:pPr>
              <w:rPr>
                <w:rStyle w:val="SmartLink"/>
              </w:rPr>
            </w:pPr>
            <w:r w:rsidRPr="00DD2B1B">
              <w:rPr>
                <w:rStyle w:val="SmartLink"/>
              </w:rPr>
              <w:t>OR</w:t>
            </w:r>
          </w:p>
          <w:p w14:paraId="3A8FDCDE" w14:textId="301D788D" w:rsidR="00DD2B1B" w:rsidRPr="00DD2B1B" w:rsidRDefault="00000000" w:rsidP="00DD2B1B">
            <w:pPr>
              <w:rPr>
                <w:rStyle w:val="SmartLink"/>
              </w:rPr>
            </w:pPr>
            <w:hyperlink r:id="rId15" w:history="1">
              <w:r w:rsidR="00DD2B1B" w:rsidRPr="00DD2B1B">
                <w:rPr>
                  <w:rStyle w:val="SmartLink"/>
                </w:rPr>
                <w:t>PALS: A Reading Strategy for High School</w:t>
              </w:r>
            </w:hyperlink>
          </w:p>
        </w:tc>
        <w:tc>
          <w:tcPr>
            <w:tcW w:w="1800" w:type="dxa"/>
          </w:tcPr>
          <w:p w14:paraId="109B930D" w14:textId="47378BBB" w:rsidR="00DD2B1B" w:rsidRPr="00DD2B1B" w:rsidRDefault="00000000" w:rsidP="00432E60">
            <w:pPr>
              <w:spacing w:after="240"/>
              <w:rPr>
                <w:rStyle w:val="SmartLink"/>
              </w:rPr>
            </w:pPr>
            <w:hyperlink r:id="rId16" w:tgtFrame="_blank" w:history="1">
              <w:r w:rsidR="00DD2B1B" w:rsidRPr="00DD2B1B">
                <w:rPr>
                  <w:rStyle w:val="SmartLink"/>
                </w:rPr>
                <w:t>Early Reading</w:t>
              </w:r>
            </w:hyperlink>
          </w:p>
          <w:p w14:paraId="3C190A7D" w14:textId="10827CD4" w:rsidR="00DD2B1B" w:rsidRPr="00DD2B1B" w:rsidRDefault="00000000" w:rsidP="00DD2B1B">
            <w:pPr>
              <w:rPr>
                <w:rStyle w:val="SmartLink"/>
              </w:rPr>
            </w:pPr>
            <w:hyperlink r:id="rId17" w:tgtFrame="_blank" w:history="1">
              <w:r w:rsidR="00DD2B1B" w:rsidRPr="00DD2B1B">
                <w:rPr>
                  <w:rStyle w:val="SmartLink"/>
                </w:rPr>
                <w:t>Fluency and Word Identification: Grades 3–5</w:t>
              </w:r>
            </w:hyperlink>
          </w:p>
        </w:tc>
        <w:tc>
          <w:tcPr>
            <w:tcW w:w="1620" w:type="dxa"/>
          </w:tcPr>
          <w:p w14:paraId="2D3A9CE6" w14:textId="7E1F8D30" w:rsidR="00DD2B1B" w:rsidRPr="00DD2B1B" w:rsidRDefault="00000000" w:rsidP="00432E60">
            <w:pPr>
              <w:spacing w:after="240"/>
              <w:rPr>
                <w:rStyle w:val="SmartLink"/>
              </w:rPr>
            </w:pPr>
            <w:hyperlink r:id="rId18" w:tgtFrame="_blank" w:history="1">
              <w:r w:rsidR="00DD2B1B" w:rsidRPr="00DD2B1B">
                <w:rPr>
                  <w:rStyle w:val="SmartLink"/>
                </w:rPr>
                <w:t>Motivating Students to Read</w:t>
              </w:r>
            </w:hyperlink>
          </w:p>
          <w:p w14:paraId="27B42F15" w14:textId="2B7DB481" w:rsidR="00DD2B1B" w:rsidRPr="00DD2B1B" w:rsidRDefault="00000000" w:rsidP="00DD2B1B">
            <w:pPr>
              <w:rPr>
                <w:rStyle w:val="SmartLink"/>
              </w:rPr>
            </w:pPr>
            <w:hyperlink r:id="rId19" w:tgtFrame="_blank" w:history="1">
              <w:r w:rsidR="00DD2B1B" w:rsidRPr="00DD2B1B">
                <w:rPr>
                  <w:rStyle w:val="SmartLink"/>
                </w:rPr>
                <w:t>Reading Speed and Fluency: What you Need to Know</w:t>
              </w:r>
            </w:hyperlink>
          </w:p>
        </w:tc>
        <w:tc>
          <w:tcPr>
            <w:tcW w:w="1890" w:type="dxa"/>
          </w:tcPr>
          <w:p w14:paraId="467F1205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13E3180B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710" w:type="dxa"/>
          </w:tcPr>
          <w:p w14:paraId="0A1E29C1" w14:textId="78FB7AD3" w:rsidR="00DD2B1B" w:rsidRPr="00DD2B1B" w:rsidRDefault="00000000" w:rsidP="00DD2B1B">
            <w:pPr>
              <w:rPr>
                <w:rStyle w:val="SmartLink"/>
              </w:rPr>
            </w:pPr>
            <w:hyperlink r:id="rId20" w:tgtFrame="_blank" w:history="1">
              <w:r w:rsidR="00DD2B1B" w:rsidRPr="00DD2B1B">
                <w:rPr>
                  <w:rStyle w:val="SmartLink"/>
                </w:rPr>
                <w:t>Academic Language Skills and Reading Comprehension</w:t>
              </w:r>
            </w:hyperlink>
          </w:p>
        </w:tc>
        <w:tc>
          <w:tcPr>
            <w:tcW w:w="1440" w:type="dxa"/>
          </w:tcPr>
          <w:p w14:paraId="30D8FFC5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274E7ECB" w14:textId="0FD8F991" w:rsidTr="00087822">
        <w:tc>
          <w:tcPr>
            <w:tcW w:w="1890" w:type="dxa"/>
          </w:tcPr>
          <w:p w14:paraId="3B0150D2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>SPEDH 7420 Advanced Reading</w:t>
            </w:r>
          </w:p>
          <w:p w14:paraId="71BB9E73" w14:textId="6CF5AAC0" w:rsidR="00DD2B1B" w:rsidRPr="00DD2B1B" w:rsidRDefault="00DD2B1B" w:rsidP="00DD2B1B">
            <w:pPr>
              <w:rPr>
                <w:rStyle w:val="SmartLink"/>
                <w:szCs w:val="24"/>
              </w:rPr>
            </w:pPr>
          </w:p>
        </w:tc>
        <w:tc>
          <w:tcPr>
            <w:tcW w:w="2340" w:type="dxa"/>
          </w:tcPr>
          <w:p w14:paraId="0BA5CFB2" w14:textId="77777777" w:rsidR="00DD2B1B" w:rsidRPr="00DD2B1B" w:rsidRDefault="00000000" w:rsidP="00DD2B1B">
            <w:pPr>
              <w:rPr>
                <w:rStyle w:val="SmartLink"/>
              </w:rPr>
            </w:pPr>
            <w:hyperlink r:id="rId21" w:history="1">
              <w:r w:rsidR="00DD2B1B" w:rsidRPr="00DD2B1B">
                <w:rPr>
                  <w:rStyle w:val="SmartLink"/>
                </w:rPr>
                <w:t>CSR: A Reading Comprehension Strategy</w:t>
              </w:r>
            </w:hyperlink>
          </w:p>
          <w:p w14:paraId="45BA9CA9" w14:textId="3C866A39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00" w:type="dxa"/>
          </w:tcPr>
          <w:p w14:paraId="731DA1F9" w14:textId="77777777" w:rsidR="00DD2B1B" w:rsidRPr="00DD2B1B" w:rsidRDefault="00000000" w:rsidP="00DD2B1B">
            <w:pPr>
              <w:rPr>
                <w:rStyle w:val="SmartLink"/>
              </w:rPr>
            </w:pPr>
            <w:hyperlink r:id="rId22" w:tgtFrame="_blank" w:history="1">
              <w:r w:rsidR="00DD2B1B" w:rsidRPr="00DD2B1B">
                <w:rPr>
                  <w:rStyle w:val="SmartLink"/>
                </w:rPr>
                <w:t>Comprehension and Vocabulary: Grades 3–5</w:t>
              </w:r>
            </w:hyperlink>
          </w:p>
          <w:p w14:paraId="2318D50A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620" w:type="dxa"/>
          </w:tcPr>
          <w:p w14:paraId="07907B04" w14:textId="6B4379EF" w:rsidR="000D0E05" w:rsidRPr="00DD2B1B" w:rsidRDefault="00000000" w:rsidP="00432E60">
            <w:pPr>
              <w:spacing w:after="240"/>
              <w:rPr>
                <w:rStyle w:val="SmartLink"/>
              </w:rPr>
            </w:pPr>
            <w:hyperlink r:id="rId23" w:tgtFrame="_blank" w:history="1">
              <w:r w:rsidR="00DD2B1B" w:rsidRPr="00DD2B1B">
                <w:rPr>
                  <w:rStyle w:val="SmartLink"/>
                </w:rPr>
                <w:t xml:space="preserve">10 Strategies to Increase Student </w:t>
              </w:r>
              <w:r w:rsidR="00DD2B1B" w:rsidRPr="00DD2B1B">
                <w:rPr>
                  <w:rStyle w:val="SmartLink"/>
                </w:rPr>
                <w:lastRenderedPageBreak/>
                <w:t>Reading Comprehension</w:t>
              </w:r>
            </w:hyperlink>
          </w:p>
          <w:p w14:paraId="0AB1ABB7" w14:textId="54008E7D" w:rsidR="00DD2B1B" w:rsidRPr="00DD2B1B" w:rsidRDefault="00000000" w:rsidP="00DD2B1B">
            <w:pPr>
              <w:rPr>
                <w:rStyle w:val="SmartLink"/>
              </w:rPr>
            </w:pPr>
            <w:hyperlink r:id="rId24" w:tgtFrame="_blank" w:history="1">
              <w:r w:rsidR="00DD2B1B" w:rsidRPr="00DD2B1B">
                <w:rPr>
                  <w:rStyle w:val="SmartLink"/>
                </w:rPr>
                <w:t>Five Key Principles for Effective Vocabulary Instruction</w:t>
              </w:r>
            </w:hyperlink>
          </w:p>
        </w:tc>
        <w:tc>
          <w:tcPr>
            <w:tcW w:w="1890" w:type="dxa"/>
          </w:tcPr>
          <w:p w14:paraId="5D153F1B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1322CE6C" w14:textId="34674374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710" w:type="dxa"/>
          </w:tcPr>
          <w:p w14:paraId="3955B005" w14:textId="5334CBDD" w:rsidR="00DD2B1B" w:rsidRPr="00DD2B1B" w:rsidRDefault="00000000" w:rsidP="00DD2B1B">
            <w:pPr>
              <w:rPr>
                <w:rStyle w:val="SmartLink"/>
              </w:rPr>
            </w:pPr>
            <w:hyperlink r:id="rId25" w:tgtFrame="_blank" w:history="1">
              <w:r w:rsidR="00DD2B1B" w:rsidRPr="00DD2B1B">
                <w:rPr>
                  <w:rStyle w:val="SmartLink"/>
                </w:rPr>
                <w:t xml:space="preserve">Possible Sentences </w:t>
              </w:r>
              <w:r w:rsidR="00DD2B1B" w:rsidRPr="00DD2B1B">
                <w:rPr>
                  <w:rStyle w:val="SmartLink"/>
                </w:rPr>
                <w:lastRenderedPageBreak/>
                <w:t>Vocabulary Instruction</w:t>
              </w:r>
            </w:hyperlink>
          </w:p>
        </w:tc>
        <w:tc>
          <w:tcPr>
            <w:tcW w:w="1440" w:type="dxa"/>
          </w:tcPr>
          <w:p w14:paraId="11EAF0B7" w14:textId="4D5B5CCF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515EEE78" w14:textId="7D21696E" w:rsidTr="00087822">
        <w:tc>
          <w:tcPr>
            <w:tcW w:w="1890" w:type="dxa"/>
          </w:tcPr>
          <w:p w14:paraId="4FE51A22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>SPEDH 7310 Mathematics</w:t>
            </w:r>
          </w:p>
          <w:p w14:paraId="0962F676" w14:textId="45044558" w:rsidR="00DD2B1B" w:rsidRPr="00DD2B1B" w:rsidRDefault="00DD2B1B" w:rsidP="00DD2B1B">
            <w:pPr>
              <w:rPr>
                <w:rStyle w:val="SmartLink"/>
                <w:szCs w:val="24"/>
              </w:rPr>
            </w:pPr>
          </w:p>
        </w:tc>
        <w:tc>
          <w:tcPr>
            <w:tcW w:w="2340" w:type="dxa"/>
          </w:tcPr>
          <w:p w14:paraId="47815729" w14:textId="570FCE28" w:rsidR="000D0E05" w:rsidRPr="00DD2B1B" w:rsidRDefault="00000000" w:rsidP="00280FFC">
            <w:pPr>
              <w:spacing w:after="240"/>
              <w:rPr>
                <w:rStyle w:val="SmartLink"/>
              </w:rPr>
            </w:pPr>
            <w:hyperlink r:id="rId26" w:history="1">
              <w:r w:rsidR="00DD2B1B" w:rsidRPr="00DD2B1B">
                <w:rPr>
                  <w:rStyle w:val="SmartLink"/>
                </w:rPr>
                <w:t>High-Quality Mathematics Instruction: What Teachers Should Know</w:t>
              </w:r>
            </w:hyperlink>
          </w:p>
          <w:p w14:paraId="3495AFA3" w14:textId="1186A7D2" w:rsidR="00DD2B1B" w:rsidRPr="00DD2B1B" w:rsidRDefault="00000000" w:rsidP="00DD2B1B">
            <w:pPr>
              <w:rPr>
                <w:rStyle w:val="SmartLink"/>
              </w:rPr>
            </w:pPr>
            <w:hyperlink r:id="rId27" w:history="1">
              <w:r w:rsidR="00DD2B1B" w:rsidRPr="00DD2B1B">
                <w:rPr>
                  <w:rStyle w:val="SmartLink"/>
                </w:rPr>
                <w:t>MTSS/RTI: Mathematics</w:t>
              </w:r>
            </w:hyperlink>
          </w:p>
        </w:tc>
        <w:tc>
          <w:tcPr>
            <w:tcW w:w="1800" w:type="dxa"/>
          </w:tcPr>
          <w:p w14:paraId="6D7FBE7A" w14:textId="75E0E85F" w:rsidR="00DD2B1B" w:rsidRPr="00DD2B1B" w:rsidRDefault="00000000" w:rsidP="00DD2B1B">
            <w:pPr>
              <w:rPr>
                <w:rStyle w:val="SmartLink"/>
              </w:rPr>
            </w:pPr>
            <w:hyperlink r:id="rId28" w:tgtFrame="_blank" w:history="1">
              <w:r w:rsidR="00DD2B1B" w:rsidRPr="00DD2B1B">
                <w:rPr>
                  <w:rStyle w:val="SmartLink"/>
                </w:rPr>
                <w:t>Mathematics: Identifying and Addressing Student Errors</w:t>
              </w:r>
            </w:hyperlink>
          </w:p>
        </w:tc>
        <w:tc>
          <w:tcPr>
            <w:tcW w:w="1620" w:type="dxa"/>
          </w:tcPr>
          <w:p w14:paraId="58BB4C59" w14:textId="503F707C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246CE01B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7FDE2341" w14:textId="0D8F72D3" w:rsidR="00DD2B1B" w:rsidRPr="00DD2B1B" w:rsidRDefault="00000000" w:rsidP="00DD2B1B">
            <w:pPr>
              <w:rPr>
                <w:rStyle w:val="SmartLink"/>
              </w:rPr>
            </w:pPr>
            <w:hyperlink r:id="rId29" w:tgtFrame="_blank" w:history="1">
              <w:r w:rsidR="00DD2B1B" w:rsidRPr="00DD2B1B">
                <w:rPr>
                  <w:rStyle w:val="SmartLink"/>
                </w:rPr>
                <w:t>Progress Monitoring: Scoring Mathematics Computation Probes</w:t>
              </w:r>
            </w:hyperlink>
          </w:p>
        </w:tc>
        <w:tc>
          <w:tcPr>
            <w:tcW w:w="1710" w:type="dxa"/>
          </w:tcPr>
          <w:p w14:paraId="07FB5E57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440" w:type="dxa"/>
          </w:tcPr>
          <w:p w14:paraId="05D68FB5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1EC6BDE8" w14:textId="1353D811" w:rsidTr="00087822">
        <w:trPr>
          <w:trHeight w:val="1804"/>
        </w:trPr>
        <w:tc>
          <w:tcPr>
            <w:tcW w:w="1890" w:type="dxa"/>
          </w:tcPr>
          <w:p w14:paraId="71B89E51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>SPEDH 7350 Assessment</w:t>
            </w:r>
          </w:p>
          <w:p w14:paraId="41EF5AA5" w14:textId="05F70CF4" w:rsidR="00DD2B1B" w:rsidRPr="00DD2B1B" w:rsidRDefault="00DD2B1B" w:rsidP="00DD2B1B">
            <w:pPr>
              <w:rPr>
                <w:rStyle w:val="SmartLink"/>
                <w:szCs w:val="24"/>
              </w:rPr>
            </w:pPr>
          </w:p>
        </w:tc>
        <w:tc>
          <w:tcPr>
            <w:tcW w:w="2340" w:type="dxa"/>
          </w:tcPr>
          <w:p w14:paraId="0E806D1C" w14:textId="77777777" w:rsidR="00A1374F" w:rsidRDefault="00000000" w:rsidP="00A1374F">
            <w:pPr>
              <w:spacing w:after="240"/>
              <w:rPr>
                <w:rStyle w:val="SmartLink"/>
                <w:sz w:val="28"/>
                <w:szCs w:val="28"/>
              </w:rPr>
            </w:pPr>
            <w:hyperlink r:id="rId30" w:history="1">
              <w:r w:rsidR="00DD2B1B" w:rsidRPr="00DD2B1B">
                <w:rPr>
                  <w:rStyle w:val="SmartLink"/>
                </w:rPr>
                <w:t>Progress Monitoring: Mathematics</w:t>
              </w:r>
            </w:hyperlink>
          </w:p>
          <w:p w14:paraId="167538BF" w14:textId="331D84E7" w:rsidR="00DD2B1B" w:rsidRPr="00DD2B1B" w:rsidRDefault="00000000" w:rsidP="00A1374F">
            <w:pPr>
              <w:spacing w:after="240"/>
              <w:rPr>
                <w:rStyle w:val="SmartLink"/>
              </w:rPr>
            </w:pPr>
            <w:hyperlink r:id="rId31" w:history="1">
              <w:r w:rsidR="00DD2B1B" w:rsidRPr="00DD2B1B">
                <w:rPr>
                  <w:rStyle w:val="SmartLink"/>
                </w:rPr>
                <w:t>Progress Monitoring: Reading</w:t>
              </w:r>
            </w:hyperlink>
          </w:p>
        </w:tc>
        <w:tc>
          <w:tcPr>
            <w:tcW w:w="1800" w:type="dxa"/>
          </w:tcPr>
          <w:p w14:paraId="63ABF306" w14:textId="17228A1E" w:rsidR="00DD2B1B" w:rsidRPr="00DD2B1B" w:rsidRDefault="00000000" w:rsidP="00A1374F">
            <w:pPr>
              <w:spacing w:after="240"/>
              <w:rPr>
                <w:rStyle w:val="SmartLink"/>
              </w:rPr>
            </w:pPr>
            <w:hyperlink r:id="rId32" w:tgtFrame="_blank" w:history="1">
              <w:r w:rsidR="00DD2B1B" w:rsidRPr="00DD2B1B">
                <w:rPr>
                  <w:rStyle w:val="SmartLink"/>
                </w:rPr>
                <w:t>RTI: Data-Based Decision Making</w:t>
              </w:r>
            </w:hyperlink>
          </w:p>
          <w:p w14:paraId="2A0EB1D5" w14:textId="56970778" w:rsidR="00DD2B1B" w:rsidRPr="00DD2B1B" w:rsidRDefault="00000000" w:rsidP="00DD2B1B">
            <w:pPr>
              <w:rPr>
                <w:rStyle w:val="SmartLink"/>
              </w:rPr>
            </w:pPr>
            <w:hyperlink r:id="rId33" w:tgtFrame="_blank" w:history="1">
              <w:r w:rsidR="00DD2B1B" w:rsidRPr="00DD2B1B">
                <w:rPr>
                  <w:rStyle w:val="SmartLink"/>
                </w:rPr>
                <w:t>RTI: Progress Monitoring</w:t>
              </w:r>
            </w:hyperlink>
          </w:p>
        </w:tc>
        <w:tc>
          <w:tcPr>
            <w:tcW w:w="1620" w:type="dxa"/>
          </w:tcPr>
          <w:p w14:paraId="10C905EF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0AF5553B" w14:textId="7B065BB6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00D35CC7" w14:textId="3DF93C25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710" w:type="dxa"/>
          </w:tcPr>
          <w:p w14:paraId="479AF571" w14:textId="61BB7C11" w:rsidR="00DD2B1B" w:rsidRPr="00DD2B1B" w:rsidRDefault="00000000" w:rsidP="00DD2B1B">
            <w:pPr>
              <w:rPr>
                <w:rStyle w:val="SmartLink"/>
              </w:rPr>
            </w:pPr>
            <w:hyperlink r:id="rId34" w:tgtFrame="_blank" w:history="1">
              <w:r w:rsidR="00DD2B1B" w:rsidRPr="00DD2B1B">
                <w:rPr>
                  <w:rStyle w:val="SmartLink"/>
                </w:rPr>
                <w:t>RTI Implementation</w:t>
              </w:r>
            </w:hyperlink>
          </w:p>
        </w:tc>
        <w:tc>
          <w:tcPr>
            <w:tcW w:w="1440" w:type="dxa"/>
          </w:tcPr>
          <w:p w14:paraId="1294B854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</w:tbl>
    <w:p w14:paraId="31170AC9" w14:textId="5CBCEEDD" w:rsidR="0046574C" w:rsidRDefault="0046574C" w:rsidP="00087822">
      <w:pPr>
        <w:pStyle w:val="TableLeftHeader"/>
        <w:jc w:val="left"/>
        <w:rPr>
          <w:sz w:val="24"/>
          <w:szCs w:val="24"/>
        </w:rPr>
      </w:pPr>
    </w:p>
    <w:p w14:paraId="6E6806D2" w14:textId="77777777" w:rsidR="00087822" w:rsidRDefault="00087822" w:rsidP="00087822">
      <w:pPr>
        <w:pStyle w:val="TableLeftHeader"/>
        <w:jc w:val="left"/>
        <w:rPr>
          <w:sz w:val="24"/>
          <w:szCs w:val="24"/>
        </w:rPr>
      </w:pPr>
    </w:p>
    <w:p w14:paraId="4528FF4C" w14:textId="77777777" w:rsidR="00CA3C77" w:rsidRDefault="00CA3C77" w:rsidP="00087822">
      <w:pPr>
        <w:pStyle w:val="TableLeftHeader"/>
        <w:jc w:val="left"/>
        <w:rPr>
          <w:sz w:val="24"/>
          <w:szCs w:val="24"/>
        </w:rPr>
      </w:pPr>
    </w:p>
    <w:p w14:paraId="668C3277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57518C05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2B5D7DA3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50A0CB20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15DC7AF6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04594BE4" w14:textId="77777777" w:rsidR="00AD015F" w:rsidRDefault="00AD015F" w:rsidP="00AD015F">
      <w:pPr>
        <w:pStyle w:val="TableLeftHeader"/>
      </w:pPr>
      <w:r w:rsidRPr="00415E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84A4F" wp14:editId="6F67A0FF">
                <wp:simplePos x="0" y="0"/>
                <wp:positionH relativeFrom="column">
                  <wp:posOffset>185980</wp:posOffset>
                </wp:positionH>
                <wp:positionV relativeFrom="paragraph">
                  <wp:posOffset>142262</wp:posOffset>
                </wp:positionV>
                <wp:extent cx="1720312" cy="447169"/>
                <wp:effectExtent l="0" t="0" r="0" b="0"/>
                <wp:wrapNone/>
                <wp:docPr id="135731008" name="Text Box 13573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312" cy="447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82CD5" w14:textId="77777777" w:rsidR="00AD015F" w:rsidRDefault="00AD015F" w:rsidP="00AD015F"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3F4CBE72" wp14:editId="7E32F7CC">
                                  <wp:extent cx="1518016" cy="329184"/>
                                  <wp:effectExtent l="0" t="0" r="0" b="1270"/>
                                  <wp:docPr id="1217718488" name="Picture 3" descr="A black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992725" name="Picture 3" descr="A black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016" cy="329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4A4F" id="_x0000_t202" coordsize="21600,21600" o:spt="202" path="m,l,21600r21600,l21600,xe">
                <v:stroke joinstyle="miter"/>
                <v:path gradientshapeok="t" o:connecttype="rect"/>
              </v:shapetype>
              <v:shape id="Text Box 135731008" o:spid="_x0000_s1026" type="#_x0000_t202" style="position:absolute;left:0;text-align:left;margin-left:14.65pt;margin-top:11.2pt;width:135.4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" fillcolor="white [3201]" stroked="f" strokeweight=".5pt">
                <v:textbox>
                  <w:txbxContent>
                    <w:p w14:paraId="2B282CD5" w14:textId="77777777" w:rsidR="00AD015F" w:rsidRDefault="00AD015F" w:rsidP="00AD015F">
                      <w:r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3F4CBE72" wp14:editId="7E32F7CC">
                            <wp:extent cx="1518016" cy="329184"/>
                            <wp:effectExtent l="0" t="0" r="0" b="1270"/>
                            <wp:docPr id="1217718488" name="Picture 3" descr="A black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992725" name="Picture 3" descr="A black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016" cy="329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6A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850D8" wp14:editId="6F625232">
                <wp:simplePos x="0" y="0"/>
                <wp:positionH relativeFrom="margin">
                  <wp:posOffset>-557530</wp:posOffset>
                </wp:positionH>
                <wp:positionV relativeFrom="paragraph">
                  <wp:posOffset>41781</wp:posOffset>
                </wp:positionV>
                <wp:extent cx="9341485" cy="8890"/>
                <wp:effectExtent l="0" t="0" r="5715" b="3810"/>
                <wp:wrapNone/>
                <wp:docPr id="9297053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485" cy="8890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EC53" id="Rectangle 22" o:spid="_x0000_s1026" style="position:absolute;margin-left:-43.9pt;margin-top:3.3pt;width:735.5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29EAFBDF" w14:textId="77777777" w:rsidR="00415F97" w:rsidRDefault="00AD015F" w:rsidP="00415F97">
      <w:pPr>
        <w:pStyle w:val="OSEPFooterText"/>
        <w:spacing w:before="60"/>
        <w:ind w:left="4320"/>
      </w:pPr>
      <w:r>
        <w:drawing>
          <wp:anchor distT="0" distB="0" distL="0" distR="0" simplePos="0" relativeHeight="251664384" behindDoc="1" locked="0" layoutInCell="1" allowOverlap="1" wp14:anchorId="29F83F60" wp14:editId="33A41F6A">
            <wp:simplePos x="0" y="0"/>
            <wp:positionH relativeFrom="page">
              <wp:posOffset>3001139</wp:posOffset>
            </wp:positionH>
            <wp:positionV relativeFrom="paragraph">
              <wp:posOffset>3810</wp:posOffset>
            </wp:positionV>
            <wp:extent cx="487680" cy="439420"/>
            <wp:effectExtent l="0" t="0" r="0" b="5080"/>
            <wp:wrapNone/>
            <wp:docPr id="20" name="Image 20" descr="A logo for a compan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A logo for a company&#10;&#10;Description automatically generated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E1A">
        <w:t>T</w:t>
      </w:r>
      <w:r w:rsidRPr="00D145A3">
        <w:t>he contents of this document were developed under a grant from the U.S. Department of Education, H325E220001. However, those contents do not necessarily represent the policy of the U.S. Department of</w:t>
      </w:r>
      <w:r>
        <w:t xml:space="preserve"> </w:t>
      </w:r>
      <w:r w:rsidRPr="00D145A3">
        <w:t>Education, and you should</w:t>
      </w:r>
    </w:p>
    <w:p w14:paraId="3D7C74C4" w14:textId="5509F1BF" w:rsidR="00AD015F" w:rsidRDefault="00AD015F" w:rsidP="00415F97">
      <w:pPr>
        <w:pStyle w:val="OSEPFooterText"/>
        <w:ind w:left="4320"/>
      </w:pPr>
      <w:r w:rsidRPr="00D145A3">
        <w:t>not assume endorsement by the Federal Government. Project Officer, Sarah Allen.</w:t>
      </w:r>
      <w:r w:rsidR="008070BC">
        <w:t xml:space="preserve"> 3.28.24</w:t>
      </w:r>
    </w:p>
    <w:sectPr w:rsidR="00AD015F" w:rsidSect="007A40E4">
      <w:type w:val="continuous"/>
      <w:pgSz w:w="15840" w:h="12240" w:orient="landscape"/>
      <w:pgMar w:top="711" w:right="1440" w:bottom="729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7F4C" w14:textId="77777777" w:rsidR="007A40E4" w:rsidRDefault="007A40E4">
      <w:r>
        <w:separator/>
      </w:r>
    </w:p>
  </w:endnote>
  <w:endnote w:type="continuationSeparator" w:id="0">
    <w:p w14:paraId="2064F6B5" w14:textId="77777777" w:rsidR="007A40E4" w:rsidRDefault="007A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D809" w14:textId="77777777" w:rsidR="007A40E4" w:rsidRDefault="007A40E4">
      <w:r>
        <w:separator/>
      </w:r>
    </w:p>
  </w:footnote>
  <w:footnote w:type="continuationSeparator" w:id="0">
    <w:p w14:paraId="2FFB854D" w14:textId="77777777" w:rsidR="007A40E4" w:rsidRDefault="007A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69"/>
    <w:rsid w:val="00014A8F"/>
    <w:rsid w:val="00050556"/>
    <w:rsid w:val="000508FF"/>
    <w:rsid w:val="00061AD7"/>
    <w:rsid w:val="00063EFD"/>
    <w:rsid w:val="00077F98"/>
    <w:rsid w:val="0008152E"/>
    <w:rsid w:val="00087822"/>
    <w:rsid w:val="00092556"/>
    <w:rsid w:val="000C220B"/>
    <w:rsid w:val="000C372A"/>
    <w:rsid w:val="000D0E05"/>
    <w:rsid w:val="000D13C3"/>
    <w:rsid w:val="000E3871"/>
    <w:rsid w:val="00103ABD"/>
    <w:rsid w:val="00105AD9"/>
    <w:rsid w:val="00107BF4"/>
    <w:rsid w:val="00120A8D"/>
    <w:rsid w:val="00133204"/>
    <w:rsid w:val="0014706D"/>
    <w:rsid w:val="001705B0"/>
    <w:rsid w:val="0018657A"/>
    <w:rsid w:val="00195D8A"/>
    <w:rsid w:val="001A273D"/>
    <w:rsid w:val="001B3905"/>
    <w:rsid w:val="001B4198"/>
    <w:rsid w:val="001B71B6"/>
    <w:rsid w:val="001C0C57"/>
    <w:rsid w:val="001C5993"/>
    <w:rsid w:val="001E18EB"/>
    <w:rsid w:val="001E2569"/>
    <w:rsid w:val="00206D33"/>
    <w:rsid w:val="002118EE"/>
    <w:rsid w:val="0021797E"/>
    <w:rsid w:val="002261DA"/>
    <w:rsid w:val="00235CD4"/>
    <w:rsid w:val="00252ED6"/>
    <w:rsid w:val="002618BF"/>
    <w:rsid w:val="00273F79"/>
    <w:rsid w:val="002800BA"/>
    <w:rsid w:val="00280FFC"/>
    <w:rsid w:val="002A1217"/>
    <w:rsid w:val="002B2E15"/>
    <w:rsid w:val="002F23CA"/>
    <w:rsid w:val="00306730"/>
    <w:rsid w:val="0031150B"/>
    <w:rsid w:val="00321D06"/>
    <w:rsid w:val="00331494"/>
    <w:rsid w:val="00342A8A"/>
    <w:rsid w:val="00354033"/>
    <w:rsid w:val="00356216"/>
    <w:rsid w:val="00371BD3"/>
    <w:rsid w:val="00396BB2"/>
    <w:rsid w:val="003A1B2C"/>
    <w:rsid w:val="003A6AAB"/>
    <w:rsid w:val="003B0097"/>
    <w:rsid w:val="003D4632"/>
    <w:rsid w:val="003F2027"/>
    <w:rsid w:val="003F4ECF"/>
    <w:rsid w:val="00415E1A"/>
    <w:rsid w:val="00415F97"/>
    <w:rsid w:val="00432E60"/>
    <w:rsid w:val="00440817"/>
    <w:rsid w:val="0046574C"/>
    <w:rsid w:val="00490904"/>
    <w:rsid w:val="00497B6D"/>
    <w:rsid w:val="004B1DBD"/>
    <w:rsid w:val="004D3726"/>
    <w:rsid w:val="004E3905"/>
    <w:rsid w:val="00567441"/>
    <w:rsid w:val="0059565C"/>
    <w:rsid w:val="005B2F63"/>
    <w:rsid w:val="005B5A74"/>
    <w:rsid w:val="005D356E"/>
    <w:rsid w:val="00606BFE"/>
    <w:rsid w:val="00636C9C"/>
    <w:rsid w:val="0064268A"/>
    <w:rsid w:val="00650014"/>
    <w:rsid w:val="00673CCA"/>
    <w:rsid w:val="00674633"/>
    <w:rsid w:val="00682547"/>
    <w:rsid w:val="00692212"/>
    <w:rsid w:val="006A2406"/>
    <w:rsid w:val="006B16CD"/>
    <w:rsid w:val="006D0421"/>
    <w:rsid w:val="006E1A94"/>
    <w:rsid w:val="007006FF"/>
    <w:rsid w:val="00711E52"/>
    <w:rsid w:val="007143C8"/>
    <w:rsid w:val="007329CB"/>
    <w:rsid w:val="00743D06"/>
    <w:rsid w:val="00751FDA"/>
    <w:rsid w:val="00763628"/>
    <w:rsid w:val="007824E1"/>
    <w:rsid w:val="007A40E4"/>
    <w:rsid w:val="007D347B"/>
    <w:rsid w:val="007F7C7B"/>
    <w:rsid w:val="008011D0"/>
    <w:rsid w:val="008070BC"/>
    <w:rsid w:val="0082502C"/>
    <w:rsid w:val="0083235E"/>
    <w:rsid w:val="00842F6D"/>
    <w:rsid w:val="00866E75"/>
    <w:rsid w:val="008729C1"/>
    <w:rsid w:val="008A6D40"/>
    <w:rsid w:val="008B1D9C"/>
    <w:rsid w:val="008B4961"/>
    <w:rsid w:val="008C7871"/>
    <w:rsid w:val="00903B10"/>
    <w:rsid w:val="00923A1D"/>
    <w:rsid w:val="009477FC"/>
    <w:rsid w:val="00954165"/>
    <w:rsid w:val="0095594D"/>
    <w:rsid w:val="00961659"/>
    <w:rsid w:val="00972C62"/>
    <w:rsid w:val="00997B6F"/>
    <w:rsid w:val="009A4D7F"/>
    <w:rsid w:val="009B3B24"/>
    <w:rsid w:val="009E0052"/>
    <w:rsid w:val="009E085D"/>
    <w:rsid w:val="009E4119"/>
    <w:rsid w:val="009F5634"/>
    <w:rsid w:val="00A02DC3"/>
    <w:rsid w:val="00A1374F"/>
    <w:rsid w:val="00A221D0"/>
    <w:rsid w:val="00A40C6E"/>
    <w:rsid w:val="00A45A22"/>
    <w:rsid w:val="00A5131A"/>
    <w:rsid w:val="00A54A6B"/>
    <w:rsid w:val="00A62D20"/>
    <w:rsid w:val="00A727FB"/>
    <w:rsid w:val="00A80644"/>
    <w:rsid w:val="00A95B54"/>
    <w:rsid w:val="00AA6AED"/>
    <w:rsid w:val="00AC0110"/>
    <w:rsid w:val="00AC16EE"/>
    <w:rsid w:val="00AD015F"/>
    <w:rsid w:val="00AE1443"/>
    <w:rsid w:val="00B14EDB"/>
    <w:rsid w:val="00B20C8D"/>
    <w:rsid w:val="00B33796"/>
    <w:rsid w:val="00B65622"/>
    <w:rsid w:val="00BB00CF"/>
    <w:rsid w:val="00BC3268"/>
    <w:rsid w:val="00C041FA"/>
    <w:rsid w:val="00C23440"/>
    <w:rsid w:val="00C250D1"/>
    <w:rsid w:val="00C5069A"/>
    <w:rsid w:val="00C55527"/>
    <w:rsid w:val="00C6634E"/>
    <w:rsid w:val="00C6648B"/>
    <w:rsid w:val="00CA3C77"/>
    <w:rsid w:val="00CB4966"/>
    <w:rsid w:val="00CD0346"/>
    <w:rsid w:val="00CD13B1"/>
    <w:rsid w:val="00D004B3"/>
    <w:rsid w:val="00D145A3"/>
    <w:rsid w:val="00D332A2"/>
    <w:rsid w:val="00D61E39"/>
    <w:rsid w:val="00D646D5"/>
    <w:rsid w:val="00D70A79"/>
    <w:rsid w:val="00D717B7"/>
    <w:rsid w:val="00DB2078"/>
    <w:rsid w:val="00DD2B1B"/>
    <w:rsid w:val="00DD6EE1"/>
    <w:rsid w:val="00DE6C1F"/>
    <w:rsid w:val="00DF3663"/>
    <w:rsid w:val="00E05A9F"/>
    <w:rsid w:val="00E22F8D"/>
    <w:rsid w:val="00E26570"/>
    <w:rsid w:val="00E43E8E"/>
    <w:rsid w:val="00E51E0D"/>
    <w:rsid w:val="00E74304"/>
    <w:rsid w:val="00E9753D"/>
    <w:rsid w:val="00E978D0"/>
    <w:rsid w:val="00ED65BE"/>
    <w:rsid w:val="00EE24BF"/>
    <w:rsid w:val="00F03C61"/>
    <w:rsid w:val="00F275F4"/>
    <w:rsid w:val="00F43EFF"/>
    <w:rsid w:val="00F83E9E"/>
    <w:rsid w:val="00FD09C1"/>
    <w:rsid w:val="00FD490B"/>
    <w:rsid w:val="00FE7A91"/>
    <w:rsid w:val="00FF3CA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54825"/>
  <w15:chartTrackingRefBased/>
  <w15:docId w15:val="{1F8E064C-8B0A-D049-ABAE-D3928A6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48" w:unhideWhenUsed="1" w:qFormat="1"/>
  </w:latentStyles>
  <w:style w:type="paragraph" w:default="1" w:styleId="Normal">
    <w:name w:val="Normal"/>
    <w:qFormat/>
    <w:rsid w:val="00F275F4"/>
    <w:pPr>
      <w:spacing w:after="120"/>
    </w:pPr>
    <w:rPr>
      <w:rFonts w:ascii="Arial" w:eastAsia="Corbel" w:hAnsi="Arial" w:cs="Times New Roman"/>
      <w:color w:val="000000" w:themeColor="text1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C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C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C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C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36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C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C9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C9C"/>
    <w:pPr>
      <w:spacing w:before="160" w:after="160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C9C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636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C9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C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9C"/>
    <w:rPr>
      <w:rFonts w:eastAsiaTheme="minorEastAsia"/>
    </w:rPr>
  </w:style>
  <w:style w:type="table" w:styleId="TableGrid">
    <w:name w:val="Table Grid"/>
    <w:basedOn w:val="TableNormal"/>
    <w:uiPriority w:val="59"/>
    <w:rsid w:val="00E26570"/>
    <w:rPr>
      <w:rFonts w:ascii="Cambria" w:eastAsia="MS Mincho" w:hAnsi="Cambria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C9C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7143C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3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CD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CD4"/>
    <w:rPr>
      <w:rFonts w:eastAsiaTheme="minorEastAsia"/>
      <w:b/>
      <w:bCs/>
      <w:sz w:val="20"/>
      <w:szCs w:val="20"/>
    </w:rPr>
  </w:style>
  <w:style w:type="paragraph" w:customStyle="1" w:styleId="OSEPFooterText">
    <w:name w:val="OSEP Footer Text"/>
    <w:basedOn w:val="Normal"/>
    <w:autoRedefine/>
    <w:qFormat/>
    <w:rsid w:val="00C5069A"/>
    <w:pPr>
      <w:tabs>
        <w:tab w:val="right" w:pos="11376"/>
      </w:tabs>
      <w:spacing w:after="0"/>
      <w:ind w:left="5040"/>
    </w:pPr>
    <w:rPr>
      <w:noProof/>
      <w:color w:val="7F7F7F" w:themeColor="text1" w:themeTint="80"/>
      <w:sz w:val="16"/>
    </w:rPr>
  </w:style>
  <w:style w:type="character" w:styleId="SmartLink">
    <w:name w:val="Smart Link"/>
    <w:basedOn w:val="DefaultParagraphFont"/>
    <w:uiPriority w:val="48"/>
    <w:qFormat/>
    <w:rsid w:val="00E26570"/>
    <w:rPr>
      <w:rFonts w:ascii="Arial Narrow" w:hAnsi="Arial Narrow"/>
      <w:b w:val="0"/>
      <w:i w:val="0"/>
      <w:color w:val="7030A0"/>
      <w:sz w:val="24"/>
      <w:u w:val="non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26570"/>
    <w:rPr>
      <w:b/>
      <w:bCs/>
    </w:rPr>
  </w:style>
  <w:style w:type="paragraph" w:customStyle="1" w:styleId="TableHeader">
    <w:name w:val="Table Header"/>
    <w:basedOn w:val="Normal"/>
    <w:autoRedefine/>
    <w:qFormat/>
    <w:rsid w:val="000C220B"/>
    <w:rPr>
      <w:rFonts w:cs="Arial"/>
      <w:b/>
      <w:bCs/>
      <w:color w:val="A6A6A6" w:themeColor="background1" w:themeShade="A6"/>
      <w:sz w:val="20"/>
      <w:szCs w:val="20"/>
    </w:rPr>
  </w:style>
  <w:style w:type="paragraph" w:customStyle="1" w:styleId="TableLeftHeader">
    <w:name w:val="Table Left Header"/>
    <w:basedOn w:val="Normal"/>
    <w:autoRedefine/>
    <w:qFormat/>
    <w:rsid w:val="009A4D7F"/>
    <w:pPr>
      <w:spacing w:after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module/palsk1/" TargetMode="External"/><Relationship Id="rId18" Type="http://schemas.openxmlformats.org/officeDocument/2006/relationships/hyperlink" Target="https://www.edutopia.org/blog/motivating-students-read-donna-wilson-marcus-conyers" TargetMode="External"/><Relationship Id="rId26" Type="http://schemas.openxmlformats.org/officeDocument/2006/relationships/hyperlink" Target="https://iris.peabody.vanderbilt.edu/module/math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ris.peabody.vanderbilt.edu/module/csr/" TargetMode="External"/><Relationship Id="rId34" Type="http://schemas.openxmlformats.org/officeDocument/2006/relationships/hyperlink" Target="https://iris.peabody.vanderbilt.edu/interview/brock_rti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iris.peabody.vanderbilt.edu/wp-content/uploads/pdf_activities/independent/IA_Graphic_Organizers.pdf" TargetMode="External"/><Relationship Id="rId17" Type="http://schemas.openxmlformats.org/officeDocument/2006/relationships/hyperlink" Target="https://iris.peabody.vanderbilt.edu/wp-content/uploads/pdf_case_studies/ics_flu.pdf" TargetMode="External"/><Relationship Id="rId25" Type="http://schemas.openxmlformats.org/officeDocument/2006/relationships/hyperlink" Target="https://iris.peabody.vanderbilt.edu/interview/episode-14-deborah-reed-phd-2/" TargetMode="External"/><Relationship Id="rId33" Type="http://schemas.openxmlformats.org/officeDocument/2006/relationships/hyperlink" Target="https://iris.peabody.vanderbilt.edu/wp-content/uploads/pdf_case_studies/ics_rtipm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is.peabody.vanderbilt.edu/wp-content/uploads/pdf_case_studies/ics_earrd.pdf" TargetMode="External"/><Relationship Id="rId20" Type="http://schemas.openxmlformats.org/officeDocument/2006/relationships/hyperlink" Target="https://iris.peabody.vanderbilt.edu/interview/46095-2/" TargetMode="External"/><Relationship Id="rId29" Type="http://schemas.openxmlformats.org/officeDocument/2006/relationships/hyperlink" Target="https://iris.peabody.vanderbilt.edu/wp-content/uploads/pdf_activities/independent/IA_Scoring_Math_Comp_Probe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ris.peabody.vanderbilt.edu/wp-content/uploads/pdf_activities/group/IA_Bias_and_the_Law.pdf" TargetMode="External"/><Relationship Id="rId24" Type="http://schemas.openxmlformats.org/officeDocument/2006/relationships/hyperlink" Target="https://www.readingrockets.org/article/five-key-principles-effective-vocabulary-instruction" TargetMode="External"/><Relationship Id="rId32" Type="http://schemas.openxmlformats.org/officeDocument/2006/relationships/hyperlink" Target="https://iris.peabody.vanderbilt.edu/wp-content/uploads/pdf_case_studies/ics_rtidm.pdf" TargetMode="External"/><Relationship Id="rId37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iris.peabody.vanderbilt.edu/module/palshs/" TargetMode="External"/><Relationship Id="rId23" Type="http://schemas.openxmlformats.org/officeDocument/2006/relationships/hyperlink" Target="https://www.thoughtco.com/reading-comprehension-strategies-7952" TargetMode="External"/><Relationship Id="rId28" Type="http://schemas.openxmlformats.org/officeDocument/2006/relationships/hyperlink" Target="https://iris.peabody.vanderbilt.edu/wp-content/uploads/pdf_case_studies/ics_matherr.pdf" TargetMode="External"/><Relationship Id="rId36" Type="http://schemas.openxmlformats.org/officeDocument/2006/relationships/image" Target="media/image20.png"/><Relationship Id="rId10" Type="http://schemas.openxmlformats.org/officeDocument/2006/relationships/hyperlink" Target="https://iris.peabody.vanderbilt.edu/wp-content/uploads/misc_media/fss/pdfs/2018/fss_wait_time.pdf" TargetMode="External"/><Relationship Id="rId19" Type="http://schemas.openxmlformats.org/officeDocument/2006/relationships/hyperlink" Target="https://www.understood.org/en/articles/why-isnt-my-child-reading-fast-enough?_ul=1*1qd9qeh*domain_userid*YW1wLUM3MHVnTVl5dG1kdGZVbTVhWXEyMEE." TargetMode="External"/><Relationship Id="rId31" Type="http://schemas.openxmlformats.org/officeDocument/2006/relationships/hyperlink" Target="https://iris.peabody.vanderbilt.edu/module/pm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.peabody.vanderbilt.edu/module/ef2/" TargetMode="External"/><Relationship Id="rId14" Type="http://schemas.openxmlformats.org/officeDocument/2006/relationships/hyperlink" Target="https://iris.peabody.vanderbilt.edu/module/pals26/" TargetMode="External"/><Relationship Id="rId22" Type="http://schemas.openxmlformats.org/officeDocument/2006/relationships/hyperlink" Target="https://iris.peabody.vanderbilt.edu/wp-content/uploads/pdf_case_studies/ics_compvoc.pdf" TargetMode="External"/><Relationship Id="rId27" Type="http://schemas.openxmlformats.org/officeDocument/2006/relationships/hyperlink" Target="https://iris.peabody.vanderbilt.edu/module/rti-math/" TargetMode="External"/><Relationship Id="rId30" Type="http://schemas.openxmlformats.org/officeDocument/2006/relationships/hyperlink" Target="https://iris.peabody.vanderbilt.edu/module/pmm/" TargetMode="External"/><Relationship Id="rId35" Type="http://schemas.openxmlformats.org/officeDocument/2006/relationships/image" Target="media/image2.png"/><Relationship Id="rId8" Type="http://schemas.openxmlformats.org/officeDocument/2006/relationships/hyperlink" Target="https://iris.peabody.vanderbilt.edu/module/ef1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Specific%20Topic%20Comple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48CC9-53E6-904E-8573-BBC8ADC6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 Topic Completed Template.dotx</Template>
  <TotalTime>24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</dc:creator>
  <cp:keywords/>
  <dc:description/>
  <cp:lastModifiedBy>Shea, Nicholas M</cp:lastModifiedBy>
  <cp:revision>19</cp:revision>
  <dcterms:created xsi:type="dcterms:W3CDTF">2024-03-28T13:29:00Z</dcterms:created>
  <dcterms:modified xsi:type="dcterms:W3CDTF">2024-05-08T19:54:00Z</dcterms:modified>
</cp:coreProperties>
</file>