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F627" w14:textId="77777777" w:rsidR="00C503D2" w:rsidRPr="006548F2" w:rsidRDefault="00C503D2" w:rsidP="006B427A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6548F2">
        <w:rPr>
          <w:rFonts w:ascii="Arial" w:hAnsi="Arial" w:cs="Arial"/>
          <w:b/>
          <w:bCs/>
          <w:sz w:val="28"/>
          <w:szCs w:val="28"/>
        </w:rPr>
        <w:t>Behavioral Intervention Plan</w:t>
      </w:r>
    </w:p>
    <w:p w14:paraId="2480BEC1" w14:textId="1F02B457" w:rsidR="00C503D2" w:rsidRPr="006548F2" w:rsidRDefault="00C503D2" w:rsidP="003B794F">
      <w:pPr>
        <w:ind w:firstLine="0"/>
        <w:rPr>
          <w:rFonts w:ascii="Arial" w:hAnsi="Arial" w:cs="Arial"/>
          <w:i/>
          <w:iCs/>
          <w:color w:val="000000" w:themeColor="text1"/>
        </w:rPr>
      </w:pPr>
      <w:r w:rsidRPr="006548F2">
        <w:rPr>
          <w:rFonts w:ascii="Arial" w:hAnsi="Arial" w:cs="Arial"/>
          <w:i/>
          <w:iCs/>
          <w:color w:val="000000" w:themeColor="text1"/>
        </w:rPr>
        <w:t>This document is a simplified example of a behavioral intervention plan, intended solely for illustrative purposes. Consult your school or district for the required format and content of behavioral intervention plans.</w:t>
      </w:r>
    </w:p>
    <w:p w14:paraId="1EB0736C" w14:textId="5A006FE5" w:rsidR="00E87CA3" w:rsidRPr="006548F2" w:rsidRDefault="00E87CA3" w:rsidP="006B427A">
      <w:pPr>
        <w:spacing w:before="120" w:after="12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b/>
          <w:bCs/>
          <w:szCs w:val="24"/>
        </w:rPr>
        <w:t>Student Name</w:t>
      </w:r>
      <w:r w:rsidR="00AE4ABB" w:rsidRPr="006548F2">
        <w:rPr>
          <w:rFonts w:ascii="Arial" w:hAnsi="Arial" w:cs="Arial"/>
          <w:b/>
          <w:bCs/>
          <w:szCs w:val="24"/>
        </w:rPr>
        <w:t>:</w:t>
      </w:r>
      <w:r w:rsidR="00377925" w:rsidRPr="006548F2">
        <w:rPr>
          <w:rFonts w:ascii="Arial" w:hAnsi="Arial" w:cs="Arial"/>
          <w:b/>
          <w:bCs/>
          <w:szCs w:val="24"/>
        </w:rPr>
        <w:t xml:space="preserve"> </w:t>
      </w:r>
      <w:r w:rsidR="00410369" w:rsidRPr="006548F2">
        <w:rPr>
          <w:rFonts w:ascii="Arial" w:hAnsi="Arial" w:cs="Arial"/>
          <w:color w:val="215E99" w:themeColor="text2" w:themeTint="BF"/>
          <w:szCs w:val="24"/>
        </w:rPr>
        <w:t>Tasha</w:t>
      </w:r>
      <w:r w:rsidR="003B794F" w:rsidRPr="006548F2">
        <w:rPr>
          <w:rFonts w:ascii="Arial" w:hAnsi="Arial" w:cs="Arial"/>
          <w:color w:val="215E99" w:themeColor="text2" w:themeTint="BF"/>
          <w:szCs w:val="24"/>
        </w:rPr>
        <w:tab/>
      </w:r>
      <w:r w:rsidR="003B794F" w:rsidRPr="006548F2">
        <w:rPr>
          <w:rFonts w:ascii="Arial" w:hAnsi="Arial" w:cs="Arial"/>
          <w:color w:val="215E99" w:themeColor="text2" w:themeTint="BF"/>
          <w:szCs w:val="24"/>
        </w:rPr>
        <w:tab/>
      </w:r>
      <w:r w:rsidR="003B794F" w:rsidRPr="006548F2">
        <w:rPr>
          <w:rFonts w:ascii="Arial" w:hAnsi="Arial" w:cs="Arial"/>
          <w:color w:val="215E99" w:themeColor="text2" w:themeTint="BF"/>
          <w:szCs w:val="24"/>
        </w:rPr>
        <w:tab/>
      </w:r>
    </w:p>
    <w:p w14:paraId="1CD76A09" w14:textId="4B2CEFF0" w:rsidR="00E87CA3" w:rsidRPr="006548F2" w:rsidRDefault="00E87CA3" w:rsidP="006B427A">
      <w:pPr>
        <w:spacing w:after="12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b/>
          <w:bCs/>
          <w:szCs w:val="24"/>
        </w:rPr>
        <w:t>DOB</w:t>
      </w:r>
      <w:r w:rsidR="00AE4ABB" w:rsidRPr="006548F2">
        <w:rPr>
          <w:rFonts w:ascii="Arial" w:hAnsi="Arial" w:cs="Arial"/>
          <w:b/>
          <w:bCs/>
          <w:szCs w:val="24"/>
        </w:rPr>
        <w:t>:</w:t>
      </w:r>
      <w:r w:rsidRPr="006548F2">
        <w:rPr>
          <w:rFonts w:ascii="Arial" w:hAnsi="Arial" w:cs="Arial"/>
          <w:szCs w:val="24"/>
        </w:rPr>
        <w:t xml:space="preserve"> </w:t>
      </w:r>
      <w:r w:rsidR="00EF44C7" w:rsidRPr="006548F2">
        <w:rPr>
          <w:rFonts w:ascii="Arial" w:hAnsi="Arial" w:cs="Arial"/>
          <w:color w:val="215E99" w:themeColor="text2" w:themeTint="BF"/>
          <w:szCs w:val="24"/>
        </w:rPr>
        <w:t>3</w:t>
      </w:r>
      <w:r w:rsidR="00F56D64" w:rsidRPr="006548F2">
        <w:rPr>
          <w:rFonts w:ascii="Arial" w:hAnsi="Arial" w:cs="Arial"/>
          <w:color w:val="215E99" w:themeColor="text2" w:themeTint="BF"/>
          <w:szCs w:val="24"/>
        </w:rPr>
        <w:t>/</w:t>
      </w:r>
      <w:r w:rsidR="00EF44C7" w:rsidRPr="006548F2">
        <w:rPr>
          <w:rFonts w:ascii="Arial" w:hAnsi="Arial" w:cs="Arial"/>
          <w:color w:val="215E99" w:themeColor="text2" w:themeTint="BF"/>
          <w:szCs w:val="24"/>
        </w:rPr>
        <w:t>14</w:t>
      </w:r>
      <w:r w:rsidR="00F56D64" w:rsidRPr="006548F2">
        <w:rPr>
          <w:rFonts w:ascii="Arial" w:hAnsi="Arial" w:cs="Arial"/>
          <w:color w:val="215E99" w:themeColor="text2" w:themeTint="BF"/>
          <w:szCs w:val="24"/>
        </w:rPr>
        <w:t>/20</w:t>
      </w:r>
      <w:r w:rsidR="00C503D2" w:rsidRPr="006548F2">
        <w:rPr>
          <w:rFonts w:ascii="Arial" w:hAnsi="Arial" w:cs="Arial"/>
          <w:color w:val="215E99" w:themeColor="text2" w:themeTint="BF"/>
          <w:szCs w:val="24"/>
        </w:rPr>
        <w:t>XX</w:t>
      </w:r>
      <w:r w:rsidR="003B794F" w:rsidRPr="006548F2">
        <w:rPr>
          <w:rFonts w:ascii="Arial" w:hAnsi="Arial" w:cs="Arial"/>
          <w:color w:val="215E99" w:themeColor="text2" w:themeTint="BF"/>
          <w:szCs w:val="24"/>
        </w:rPr>
        <w:tab/>
      </w:r>
      <w:r w:rsidR="00C503D2" w:rsidRPr="006548F2">
        <w:rPr>
          <w:rFonts w:ascii="Arial" w:hAnsi="Arial" w:cs="Arial"/>
          <w:szCs w:val="24"/>
        </w:rPr>
        <w:tab/>
      </w:r>
      <w:r w:rsidR="00EC0F59" w:rsidRPr="006548F2">
        <w:rPr>
          <w:rFonts w:ascii="Arial" w:hAnsi="Arial" w:cs="Arial"/>
          <w:szCs w:val="24"/>
        </w:rPr>
        <w:tab/>
      </w:r>
      <w:r w:rsidR="00C503D2" w:rsidRPr="006548F2">
        <w:rPr>
          <w:rFonts w:ascii="Arial" w:hAnsi="Arial" w:cs="Arial"/>
          <w:b/>
          <w:bCs/>
          <w:szCs w:val="24"/>
        </w:rPr>
        <w:t>Age</w:t>
      </w:r>
      <w:r w:rsidR="00AE4ABB" w:rsidRPr="006548F2">
        <w:rPr>
          <w:rFonts w:ascii="Arial" w:hAnsi="Arial" w:cs="Arial"/>
          <w:b/>
          <w:bCs/>
          <w:szCs w:val="24"/>
        </w:rPr>
        <w:t>:</w:t>
      </w:r>
      <w:r w:rsidR="00C503D2" w:rsidRPr="006548F2">
        <w:rPr>
          <w:rFonts w:ascii="Arial" w:hAnsi="Arial" w:cs="Arial"/>
          <w:b/>
          <w:bCs/>
          <w:szCs w:val="24"/>
        </w:rPr>
        <w:t xml:space="preserve"> </w:t>
      </w:r>
      <w:r w:rsidR="00C503D2" w:rsidRPr="006548F2">
        <w:rPr>
          <w:rFonts w:ascii="Arial" w:hAnsi="Arial" w:cs="Arial"/>
          <w:color w:val="215E99" w:themeColor="text2" w:themeTint="BF"/>
          <w:szCs w:val="24"/>
        </w:rPr>
        <w:t>16</w:t>
      </w:r>
      <w:r w:rsidR="003B794F" w:rsidRPr="006548F2">
        <w:rPr>
          <w:rFonts w:ascii="Arial" w:hAnsi="Arial" w:cs="Arial"/>
          <w:color w:val="215E99" w:themeColor="text2" w:themeTint="BF"/>
          <w:szCs w:val="24"/>
        </w:rPr>
        <w:tab/>
      </w:r>
    </w:p>
    <w:p w14:paraId="2DC41C39" w14:textId="76BAA1F8" w:rsidR="00E87CA3" w:rsidRPr="006548F2" w:rsidRDefault="00E87CA3" w:rsidP="00E87CA3">
      <w:pPr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b/>
          <w:bCs/>
          <w:szCs w:val="24"/>
        </w:rPr>
        <w:t>Plan Date</w:t>
      </w:r>
      <w:r w:rsidR="00AE4ABB" w:rsidRPr="006548F2">
        <w:rPr>
          <w:rFonts w:ascii="Arial" w:hAnsi="Arial" w:cs="Arial"/>
          <w:b/>
          <w:bCs/>
          <w:szCs w:val="24"/>
        </w:rPr>
        <w:t>:</w:t>
      </w:r>
      <w:r w:rsidRPr="006548F2">
        <w:rPr>
          <w:rFonts w:ascii="Arial" w:hAnsi="Arial" w:cs="Arial"/>
          <w:szCs w:val="24"/>
        </w:rPr>
        <w:t xml:space="preserve"> </w:t>
      </w:r>
      <w:r w:rsidR="00CC3DAD" w:rsidRPr="006548F2">
        <w:rPr>
          <w:rFonts w:ascii="Arial" w:hAnsi="Arial" w:cs="Arial"/>
          <w:color w:val="215E99" w:themeColor="text2" w:themeTint="BF"/>
          <w:szCs w:val="24"/>
        </w:rPr>
        <w:t>1</w:t>
      </w:r>
      <w:r w:rsidR="00267C38">
        <w:rPr>
          <w:rFonts w:ascii="Arial" w:hAnsi="Arial" w:cs="Arial"/>
          <w:color w:val="215E99" w:themeColor="text2" w:themeTint="BF"/>
          <w:szCs w:val="24"/>
        </w:rPr>
        <w:t>0</w:t>
      </w:r>
      <w:r w:rsidR="00F56D64" w:rsidRPr="006548F2">
        <w:rPr>
          <w:rFonts w:ascii="Arial" w:hAnsi="Arial" w:cs="Arial"/>
          <w:color w:val="215E99" w:themeColor="text2" w:themeTint="BF"/>
          <w:szCs w:val="24"/>
        </w:rPr>
        <w:t>/</w:t>
      </w:r>
      <w:r w:rsidR="00CC3DAD" w:rsidRPr="006548F2">
        <w:rPr>
          <w:rFonts w:ascii="Arial" w:hAnsi="Arial" w:cs="Arial"/>
          <w:color w:val="215E99" w:themeColor="text2" w:themeTint="BF"/>
          <w:szCs w:val="24"/>
        </w:rPr>
        <w:t>2</w:t>
      </w:r>
      <w:r w:rsidR="00267C38">
        <w:rPr>
          <w:rFonts w:ascii="Arial" w:hAnsi="Arial" w:cs="Arial"/>
          <w:color w:val="215E99" w:themeColor="text2" w:themeTint="BF"/>
          <w:szCs w:val="24"/>
        </w:rPr>
        <w:t>1</w:t>
      </w:r>
      <w:r w:rsidR="00F56D64" w:rsidRPr="006548F2">
        <w:rPr>
          <w:rFonts w:ascii="Arial" w:hAnsi="Arial" w:cs="Arial"/>
          <w:color w:val="215E99" w:themeColor="text2" w:themeTint="BF"/>
          <w:szCs w:val="24"/>
        </w:rPr>
        <w:t>/20</w:t>
      </w:r>
      <w:r w:rsidR="00C503D2" w:rsidRPr="006548F2">
        <w:rPr>
          <w:rFonts w:ascii="Arial" w:hAnsi="Arial" w:cs="Arial"/>
          <w:color w:val="215E99" w:themeColor="text2" w:themeTint="BF"/>
          <w:szCs w:val="24"/>
        </w:rPr>
        <w:t>XX</w:t>
      </w:r>
      <w:r w:rsidR="003B794F" w:rsidRPr="006548F2">
        <w:rPr>
          <w:rFonts w:ascii="Arial" w:hAnsi="Arial" w:cs="Arial"/>
          <w:color w:val="215E99" w:themeColor="text2" w:themeTint="BF"/>
          <w:szCs w:val="24"/>
        </w:rPr>
        <w:tab/>
      </w:r>
    </w:p>
    <w:p w14:paraId="4A0B7308" w14:textId="77777777" w:rsidR="00E87CA3" w:rsidRPr="006548F2" w:rsidRDefault="00E87CA3" w:rsidP="006B427A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szCs w:val="24"/>
        </w:rPr>
        <w:t>Initial Plan</w:t>
      </w:r>
    </w:p>
    <w:p w14:paraId="3448D0D3" w14:textId="77777777" w:rsidR="00E87CA3" w:rsidRPr="006548F2" w:rsidRDefault="00E87CA3" w:rsidP="00E87CA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548F2">
        <w:rPr>
          <w:rFonts w:ascii="Arial" w:hAnsi="Arial" w:cs="Arial"/>
          <w:szCs w:val="24"/>
        </w:rPr>
        <w:t>Plan Revision</w:t>
      </w:r>
    </w:p>
    <w:p w14:paraId="6F8C5556" w14:textId="3DBB7B87" w:rsidR="00E87CA3" w:rsidRPr="006548F2" w:rsidRDefault="00E87CA3" w:rsidP="00A5407C">
      <w:pPr>
        <w:spacing w:before="240" w:after="120"/>
        <w:ind w:firstLine="0"/>
        <w:rPr>
          <w:rFonts w:ascii="Arial" w:hAnsi="Arial" w:cs="Arial"/>
          <w:b/>
          <w:bCs/>
          <w:szCs w:val="24"/>
        </w:rPr>
      </w:pPr>
      <w:r w:rsidRPr="006548F2">
        <w:rPr>
          <w:rFonts w:ascii="Arial" w:hAnsi="Arial" w:cs="Arial"/>
          <w:b/>
          <w:bCs/>
          <w:szCs w:val="24"/>
        </w:rPr>
        <w:t xml:space="preserve">Plan Developed </w:t>
      </w:r>
      <w:r w:rsidR="003B794F" w:rsidRPr="006548F2">
        <w:rPr>
          <w:rFonts w:ascii="Arial" w:hAnsi="Arial" w:cs="Arial"/>
          <w:b/>
          <w:bCs/>
          <w:szCs w:val="24"/>
        </w:rPr>
        <w:t>b</w:t>
      </w:r>
      <w:r w:rsidRPr="006548F2">
        <w:rPr>
          <w:rFonts w:ascii="Arial" w:hAnsi="Arial" w:cs="Arial"/>
          <w:b/>
          <w:bCs/>
          <w:szCs w:val="24"/>
        </w:rPr>
        <w:t>y</w:t>
      </w:r>
      <w:r w:rsidR="00AE4ABB" w:rsidRPr="006548F2">
        <w:rPr>
          <w:rFonts w:ascii="Arial" w:hAnsi="Arial" w:cs="Arial"/>
          <w:b/>
          <w:bCs/>
          <w:szCs w:val="24"/>
        </w:rPr>
        <w:t>:</w:t>
      </w:r>
    </w:p>
    <w:p w14:paraId="6129C690" w14:textId="636E4000" w:rsidR="00E87CA3" w:rsidRPr="006548F2" w:rsidRDefault="00DD1872" w:rsidP="00377925">
      <w:pPr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A. Lehrer</w:t>
      </w:r>
      <w:r w:rsidR="003B794F" w:rsidRPr="006548F2">
        <w:rPr>
          <w:rFonts w:ascii="Arial" w:hAnsi="Arial" w:cs="Arial"/>
          <w:color w:val="215E99" w:themeColor="text2" w:themeTint="BF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Pr="006548F2">
        <w:rPr>
          <w:rFonts w:ascii="Arial" w:hAnsi="Arial" w:cs="Arial"/>
          <w:szCs w:val="24"/>
        </w:rPr>
        <w:tab/>
      </w:r>
      <w:r w:rsidR="00EF44C7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History</w:t>
      </w:r>
      <w:r w:rsidR="00503774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 xml:space="preserve"> </w:t>
      </w:r>
      <w:r w:rsidR="005E02F0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Teacher</w:t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</w:p>
    <w:p w14:paraId="6EC90B7E" w14:textId="72D3F6B7" w:rsidR="00E87CA3" w:rsidRPr="006548F2" w:rsidRDefault="00E87CA3" w:rsidP="00377925">
      <w:pPr>
        <w:spacing w:after="6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szCs w:val="24"/>
        </w:rPr>
        <w:t>(Name)</w:t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  <w:t>(Position)</w:t>
      </w:r>
    </w:p>
    <w:p w14:paraId="3338A0E5" w14:textId="0B4076FC" w:rsidR="00E87CA3" w:rsidRPr="006548F2" w:rsidRDefault="00DD1872" w:rsidP="00377925">
      <w:pPr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P. Smith</w:t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E87CA3" w:rsidRPr="006548F2">
        <w:rPr>
          <w:rFonts w:ascii="Arial" w:hAnsi="Arial" w:cs="Arial"/>
          <w:szCs w:val="24"/>
        </w:rPr>
        <w:tab/>
      </w:r>
      <w:r w:rsidR="005E02F0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Parent</w:t>
      </w:r>
      <w:r w:rsidR="003B794F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</w:p>
    <w:p w14:paraId="1E812CE9" w14:textId="77777777" w:rsidR="00E87CA3" w:rsidRPr="006548F2" w:rsidRDefault="00E87CA3" w:rsidP="00377925">
      <w:pPr>
        <w:spacing w:after="6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szCs w:val="24"/>
        </w:rPr>
        <w:t>(Name)</w:t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  <w:t>(Position)</w:t>
      </w:r>
    </w:p>
    <w:p w14:paraId="5CA4B791" w14:textId="58B0A1EA" w:rsidR="00E87CA3" w:rsidRPr="006548F2" w:rsidRDefault="00DD1872" w:rsidP="00377925">
      <w:pPr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Z. Souza</w:t>
      </w:r>
      <w:r w:rsidR="003B794F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E87CA3" w:rsidRPr="006548F2">
        <w:rPr>
          <w:rFonts w:ascii="Arial" w:hAnsi="Arial" w:cs="Arial"/>
          <w:szCs w:val="24"/>
        </w:rPr>
        <w:tab/>
      </w:r>
      <w:r w:rsidR="00EF44C7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School Counselor</w:t>
      </w:r>
      <w:r w:rsidR="003B794F" w:rsidRPr="006548F2">
        <w:rPr>
          <w:rFonts w:ascii="Arial" w:hAnsi="Arial" w:cs="Arial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</w:p>
    <w:p w14:paraId="3623161C" w14:textId="77777777" w:rsidR="00E87CA3" w:rsidRPr="006548F2" w:rsidRDefault="00E87CA3" w:rsidP="00377925">
      <w:pPr>
        <w:spacing w:after="6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szCs w:val="24"/>
        </w:rPr>
        <w:t>(Name)</w:t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  <w:t>(Position)</w:t>
      </w:r>
    </w:p>
    <w:p w14:paraId="7B14013E" w14:textId="7B72E445" w:rsidR="00E87CA3" w:rsidRPr="006548F2" w:rsidRDefault="00FE532A" w:rsidP="00377925">
      <w:pPr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 xml:space="preserve">D. </w:t>
      </w:r>
      <w:r w:rsidR="00EF16F6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Anderson</w:t>
      </w:r>
      <w:r w:rsidR="003B794F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E87CA3" w:rsidRPr="006548F2">
        <w:rPr>
          <w:rFonts w:ascii="Arial" w:hAnsi="Arial" w:cs="Arial"/>
          <w:szCs w:val="24"/>
        </w:rPr>
        <w:tab/>
      </w:r>
      <w:r w:rsidR="00EF44C7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Math Teacher</w:t>
      </w:r>
      <w:r w:rsidR="003B794F" w:rsidRPr="006548F2">
        <w:rPr>
          <w:rFonts w:ascii="Arial" w:hAnsi="Arial" w:cs="Arial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</w:p>
    <w:p w14:paraId="498095E4" w14:textId="77777777" w:rsidR="00E87CA3" w:rsidRPr="006548F2" w:rsidRDefault="00E87CA3" w:rsidP="004550F6">
      <w:pPr>
        <w:spacing w:after="6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szCs w:val="24"/>
        </w:rPr>
        <w:t>(Name)</w:t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  <w:t>(Position)</w:t>
      </w:r>
    </w:p>
    <w:p w14:paraId="65033B18" w14:textId="6DB5F136" w:rsidR="00E87CA3" w:rsidRPr="006548F2" w:rsidRDefault="00DD1872" w:rsidP="00377925">
      <w:pPr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P. Chinn</w:t>
      </w:r>
      <w:r w:rsidR="003B794F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  <w:r w:rsidR="00E87CA3"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School Psychologist</w:t>
      </w:r>
      <w:r w:rsidR="003B794F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3B794F" w:rsidRPr="006548F2">
        <w:rPr>
          <w:rFonts w:ascii="Arial" w:hAnsi="Arial" w:cs="Arial"/>
          <w:szCs w:val="24"/>
          <w:u w:val="single"/>
        </w:rPr>
        <w:tab/>
      </w:r>
    </w:p>
    <w:p w14:paraId="47FEFDCE" w14:textId="77777777" w:rsidR="00E87CA3" w:rsidRPr="006548F2" w:rsidRDefault="00E87CA3" w:rsidP="00377925">
      <w:pPr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szCs w:val="24"/>
        </w:rPr>
        <w:t>(Name)</w:t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</w:r>
      <w:r w:rsidRPr="006548F2">
        <w:rPr>
          <w:rFonts w:ascii="Arial" w:hAnsi="Arial" w:cs="Arial"/>
          <w:szCs w:val="24"/>
        </w:rPr>
        <w:tab/>
        <w:t>(Position)</w:t>
      </w:r>
    </w:p>
    <w:p w14:paraId="61D9AB6E" w14:textId="6FB46F8B" w:rsidR="00E87CA3" w:rsidRPr="006548F2" w:rsidRDefault="00E87CA3" w:rsidP="00A5407C">
      <w:pPr>
        <w:spacing w:before="240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6548F2">
        <w:rPr>
          <w:rFonts w:ascii="Arial" w:hAnsi="Arial" w:cs="Arial"/>
          <w:b/>
          <w:bCs/>
          <w:szCs w:val="24"/>
        </w:rPr>
        <w:t>Target Behavior</w:t>
      </w:r>
      <w:r w:rsidR="006D06D3" w:rsidRPr="006548F2">
        <w:rPr>
          <w:rFonts w:ascii="Arial" w:hAnsi="Arial" w:cs="Arial"/>
          <w:b/>
          <w:bCs/>
          <w:szCs w:val="24"/>
        </w:rPr>
        <w:t>:</w:t>
      </w:r>
      <w:r w:rsidR="00F56D64" w:rsidRPr="006548F2">
        <w:rPr>
          <w:rFonts w:ascii="Arial" w:hAnsi="Arial" w:cs="Arial"/>
          <w:szCs w:val="24"/>
        </w:rPr>
        <w:t xml:space="preserve"> </w:t>
      </w:r>
      <w:r w:rsidR="00410369" w:rsidRPr="006548F2">
        <w:rPr>
          <w:rFonts w:ascii="Arial" w:hAnsi="Arial" w:cs="Arial"/>
          <w:color w:val="215E99" w:themeColor="text2" w:themeTint="BF"/>
          <w:szCs w:val="24"/>
        </w:rPr>
        <w:t>Tasha</w:t>
      </w:r>
      <w:r w:rsidR="00EF44C7" w:rsidRPr="006548F2">
        <w:rPr>
          <w:rFonts w:ascii="Arial" w:hAnsi="Arial" w:cs="Arial"/>
          <w:color w:val="215E99" w:themeColor="text2" w:themeTint="BF"/>
          <w:szCs w:val="24"/>
        </w:rPr>
        <w:t xml:space="preserve"> engages in verbal or non-verbal activities that deviate from established classroom expectations for a given activity. </w:t>
      </w:r>
      <w:r w:rsidR="00F56D64" w:rsidRPr="006548F2">
        <w:rPr>
          <w:rFonts w:ascii="Arial" w:hAnsi="Arial" w:cs="Arial"/>
          <w:color w:val="215E99" w:themeColor="text2" w:themeTint="BF"/>
          <w:szCs w:val="24"/>
        </w:rPr>
        <w:t xml:space="preserve">Examples: </w:t>
      </w:r>
      <w:r w:rsidR="00EF44C7" w:rsidRPr="006548F2">
        <w:rPr>
          <w:rFonts w:ascii="Arial" w:hAnsi="Arial" w:cs="Arial"/>
          <w:color w:val="215E99" w:themeColor="text2" w:themeTint="BF"/>
          <w:szCs w:val="24"/>
        </w:rPr>
        <w:t>Staring blankly ahead, playing games on a laptop, placing head face</w:t>
      </w:r>
      <w:r w:rsidR="00EF415C" w:rsidRPr="006548F2">
        <w:rPr>
          <w:rFonts w:ascii="Arial" w:hAnsi="Arial" w:cs="Arial"/>
          <w:color w:val="215E99" w:themeColor="text2" w:themeTint="BF"/>
          <w:szCs w:val="24"/>
        </w:rPr>
        <w:t xml:space="preserve"> </w:t>
      </w:r>
      <w:r w:rsidR="00EF44C7" w:rsidRPr="006548F2">
        <w:rPr>
          <w:rFonts w:ascii="Arial" w:hAnsi="Arial" w:cs="Arial"/>
          <w:color w:val="215E99" w:themeColor="text2" w:themeTint="BF"/>
          <w:szCs w:val="24"/>
        </w:rPr>
        <w:t>down on the desk, walking out of the classroom without permission</w:t>
      </w:r>
      <w:r w:rsidR="007F4CDB" w:rsidRPr="006548F2">
        <w:rPr>
          <w:rFonts w:ascii="Arial" w:hAnsi="Arial" w:cs="Arial"/>
          <w:color w:val="215E99" w:themeColor="text2" w:themeTint="BF"/>
          <w:szCs w:val="24"/>
        </w:rPr>
        <w:t>.</w:t>
      </w:r>
    </w:p>
    <w:p w14:paraId="6E85EC63" w14:textId="373685BD" w:rsidR="00E87CA3" w:rsidRPr="006548F2" w:rsidRDefault="00E87CA3" w:rsidP="00EF415C">
      <w:pPr>
        <w:spacing w:before="240" w:after="160" w:line="259" w:lineRule="auto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b/>
          <w:bCs/>
          <w:szCs w:val="24"/>
        </w:rPr>
        <w:t>Hypothesis Statement</w:t>
      </w:r>
      <w:r w:rsidR="006D06D3" w:rsidRPr="006548F2">
        <w:rPr>
          <w:rFonts w:ascii="Arial" w:hAnsi="Arial" w:cs="Arial"/>
          <w:b/>
          <w:bCs/>
          <w:szCs w:val="24"/>
        </w:rPr>
        <w:t>:</w:t>
      </w:r>
      <w:r w:rsidR="00F56D64" w:rsidRPr="006548F2">
        <w:rPr>
          <w:rFonts w:ascii="Arial" w:hAnsi="Arial" w:cs="Arial"/>
          <w:szCs w:val="24"/>
        </w:rPr>
        <w:t xml:space="preserve"> </w:t>
      </w:r>
      <w:r w:rsidR="00EF44C7" w:rsidRPr="006548F2">
        <w:rPr>
          <w:rFonts w:ascii="Arial" w:hAnsi="Arial" w:cs="Arial"/>
          <w:color w:val="215E99" w:themeColor="text2" w:themeTint="BF"/>
          <w:szCs w:val="24"/>
        </w:rPr>
        <w:t xml:space="preserve">During independent work, when the teacher instructs students to work independently on a written task, </w:t>
      </w:r>
      <w:r w:rsidR="00410369" w:rsidRPr="006548F2">
        <w:rPr>
          <w:rFonts w:ascii="Arial" w:hAnsi="Arial" w:cs="Arial"/>
          <w:color w:val="215E99" w:themeColor="text2" w:themeTint="BF"/>
          <w:szCs w:val="24"/>
        </w:rPr>
        <w:t>Tasha</w:t>
      </w:r>
      <w:r w:rsidR="00EF44C7" w:rsidRPr="006548F2">
        <w:rPr>
          <w:rFonts w:ascii="Arial" w:hAnsi="Arial" w:cs="Arial"/>
          <w:color w:val="215E99" w:themeColor="text2" w:themeTint="BF"/>
          <w:szCs w:val="24"/>
        </w:rPr>
        <w:t xml:space="preserve"> engages in verbal or non-verbal activities that deviate from established classroom expectations, which results in verbal redirections, teacher ignoring, incomplete work, and administrator involvement. It is hypothesized that </w:t>
      </w:r>
      <w:r w:rsidR="00410369" w:rsidRPr="006548F2">
        <w:rPr>
          <w:rFonts w:ascii="Arial" w:hAnsi="Arial" w:cs="Arial"/>
          <w:color w:val="215E99" w:themeColor="text2" w:themeTint="BF"/>
          <w:szCs w:val="24"/>
        </w:rPr>
        <w:t>Tasha</w:t>
      </w:r>
      <w:r w:rsidR="00EF44C7" w:rsidRPr="006548F2">
        <w:rPr>
          <w:rFonts w:ascii="Arial" w:hAnsi="Arial" w:cs="Arial"/>
          <w:color w:val="215E99" w:themeColor="text2" w:themeTint="BF"/>
          <w:szCs w:val="24"/>
        </w:rPr>
        <w:t xml:space="preserve"> engages in unrelated activities </w:t>
      </w:r>
      <w:proofErr w:type="gramStart"/>
      <w:r w:rsidR="00EF44C7" w:rsidRPr="006548F2">
        <w:rPr>
          <w:rFonts w:ascii="Arial" w:hAnsi="Arial" w:cs="Arial"/>
          <w:color w:val="215E99" w:themeColor="text2" w:themeTint="BF"/>
          <w:szCs w:val="24"/>
        </w:rPr>
        <w:t>in order to</w:t>
      </w:r>
      <w:proofErr w:type="gramEnd"/>
      <w:r w:rsidR="00EF44C7" w:rsidRPr="006548F2">
        <w:rPr>
          <w:rFonts w:ascii="Arial" w:hAnsi="Arial" w:cs="Arial"/>
          <w:color w:val="215E99" w:themeColor="text2" w:themeTint="BF"/>
          <w:szCs w:val="24"/>
        </w:rPr>
        <w:t xml:space="preserve"> escape challenging academic demands.</w:t>
      </w:r>
    </w:p>
    <w:p w14:paraId="267CCD7D" w14:textId="4B010EC5" w:rsidR="00E87CA3" w:rsidRPr="006548F2" w:rsidRDefault="00E87CA3" w:rsidP="00EF415C">
      <w:pPr>
        <w:spacing w:before="24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b/>
          <w:bCs/>
          <w:szCs w:val="24"/>
        </w:rPr>
        <w:t>Replacement Behavior</w:t>
      </w:r>
      <w:r w:rsidR="006D06D3" w:rsidRPr="006548F2">
        <w:rPr>
          <w:rFonts w:ascii="Arial" w:hAnsi="Arial" w:cs="Arial"/>
          <w:b/>
          <w:bCs/>
          <w:szCs w:val="24"/>
        </w:rPr>
        <w:t>:</w:t>
      </w:r>
      <w:r w:rsidR="00F56D64" w:rsidRPr="006548F2">
        <w:rPr>
          <w:rFonts w:ascii="Arial" w:hAnsi="Arial" w:cs="Arial"/>
          <w:szCs w:val="24"/>
        </w:rPr>
        <w:t xml:space="preserve"> </w:t>
      </w:r>
      <w:r w:rsidR="00410369" w:rsidRPr="006548F2">
        <w:rPr>
          <w:rFonts w:ascii="Arial" w:hAnsi="Arial" w:cs="Arial"/>
          <w:color w:val="215E99" w:themeColor="text2" w:themeTint="BF"/>
          <w:szCs w:val="24"/>
        </w:rPr>
        <w:t>Tasha</w:t>
      </w:r>
      <w:r w:rsidR="00CC3DAD" w:rsidRPr="006548F2">
        <w:rPr>
          <w:rFonts w:ascii="Arial" w:hAnsi="Arial" w:cs="Arial"/>
          <w:color w:val="215E99" w:themeColor="text2" w:themeTint="BF"/>
          <w:szCs w:val="24"/>
        </w:rPr>
        <w:t xml:space="preserve"> will use a discrete signal to request a break during which </w:t>
      </w:r>
      <w:r w:rsidR="00AD1C0C" w:rsidRPr="006548F2">
        <w:rPr>
          <w:rFonts w:ascii="Arial" w:hAnsi="Arial" w:cs="Arial"/>
          <w:color w:val="215E99" w:themeColor="text2" w:themeTint="BF"/>
          <w:szCs w:val="24"/>
        </w:rPr>
        <w:t>s</w:t>
      </w:r>
      <w:r w:rsidR="00CC3DAD" w:rsidRPr="006548F2">
        <w:rPr>
          <w:rFonts w:ascii="Arial" w:hAnsi="Arial" w:cs="Arial"/>
          <w:color w:val="215E99" w:themeColor="text2" w:themeTint="BF"/>
          <w:szCs w:val="24"/>
        </w:rPr>
        <w:t>he can access a designated “reset</w:t>
      </w:r>
      <w:r w:rsidR="005C0E34" w:rsidRPr="006548F2">
        <w:rPr>
          <w:rFonts w:ascii="Arial" w:hAnsi="Arial" w:cs="Arial"/>
          <w:color w:val="215E99" w:themeColor="text2" w:themeTint="BF"/>
          <w:szCs w:val="24"/>
        </w:rPr>
        <w:t>”</w:t>
      </w:r>
      <w:r w:rsidR="00CC3DAD" w:rsidRPr="006548F2">
        <w:rPr>
          <w:rFonts w:ascii="Arial" w:hAnsi="Arial" w:cs="Arial"/>
          <w:color w:val="215E99" w:themeColor="text2" w:themeTint="BF"/>
          <w:szCs w:val="24"/>
        </w:rPr>
        <w:t xml:space="preserve"> space.</w:t>
      </w:r>
    </w:p>
    <w:p w14:paraId="3710CC31" w14:textId="77777777" w:rsidR="004550F6" w:rsidRPr="006548F2" w:rsidRDefault="004550F6">
      <w:pPr>
        <w:spacing w:after="160" w:line="259" w:lineRule="auto"/>
        <w:ind w:firstLine="0"/>
        <w:rPr>
          <w:rFonts w:ascii="Arial" w:hAnsi="Arial" w:cs="Arial"/>
          <w:b/>
          <w:bCs/>
          <w:szCs w:val="24"/>
        </w:rPr>
      </w:pPr>
      <w:r w:rsidRPr="006548F2">
        <w:rPr>
          <w:rFonts w:ascii="Arial" w:hAnsi="Arial" w:cs="Arial"/>
          <w:b/>
          <w:bCs/>
          <w:szCs w:val="24"/>
        </w:rPr>
        <w:br w:type="page"/>
      </w:r>
    </w:p>
    <w:p w14:paraId="6F85B2A6" w14:textId="4C85761B" w:rsidR="00E87CA3" w:rsidRPr="006548F2" w:rsidRDefault="00E87CA3" w:rsidP="00EF415C">
      <w:pPr>
        <w:spacing w:after="240"/>
        <w:ind w:firstLine="0"/>
        <w:rPr>
          <w:rFonts w:ascii="Arial" w:hAnsi="Arial" w:cs="Arial"/>
          <w:b/>
          <w:bCs/>
          <w:szCs w:val="24"/>
        </w:rPr>
      </w:pPr>
      <w:r w:rsidRPr="006548F2">
        <w:rPr>
          <w:rFonts w:ascii="Arial" w:hAnsi="Arial" w:cs="Arial"/>
          <w:b/>
          <w:bCs/>
          <w:szCs w:val="24"/>
        </w:rPr>
        <w:lastRenderedPageBreak/>
        <w:t>Interventions</w:t>
      </w:r>
    </w:p>
    <w:p w14:paraId="30B33E53" w14:textId="3E8B0385" w:rsidR="00E87CA3" w:rsidRPr="006548F2" w:rsidRDefault="004550F6" w:rsidP="00377925">
      <w:pPr>
        <w:spacing w:after="60"/>
        <w:ind w:firstLine="0"/>
        <w:rPr>
          <w:rFonts w:ascii="Arial" w:hAnsi="Arial" w:cs="Arial"/>
          <w:b/>
          <w:bCs/>
        </w:rPr>
      </w:pPr>
      <w:r w:rsidRPr="006548F2">
        <w:rPr>
          <w:rFonts w:ascii="Arial" w:hAnsi="Arial" w:cs="Arial"/>
          <w:b/>
          <w:bCs/>
        </w:rPr>
        <w:t>Skill-Based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05"/>
        <w:gridCol w:w="3150"/>
      </w:tblGrid>
      <w:tr w:rsidR="006D4827" w:rsidRPr="006548F2" w14:paraId="36990C69" w14:textId="77777777" w:rsidTr="00EF415C">
        <w:tc>
          <w:tcPr>
            <w:tcW w:w="6205" w:type="dxa"/>
            <w:shd w:val="clear" w:color="auto" w:fill="E8E8E8" w:themeFill="background2"/>
            <w:vAlign w:val="center"/>
          </w:tcPr>
          <w:p w14:paraId="2D434226" w14:textId="53609DED" w:rsidR="006D4827" w:rsidRPr="006548F2" w:rsidRDefault="006D4827" w:rsidP="00EF415C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548F2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150" w:type="dxa"/>
            <w:shd w:val="clear" w:color="auto" w:fill="E8E8E8" w:themeFill="background2"/>
            <w:vAlign w:val="center"/>
          </w:tcPr>
          <w:p w14:paraId="084D89C5" w14:textId="144EE969" w:rsidR="006D4827" w:rsidRPr="006548F2" w:rsidRDefault="006D4827" w:rsidP="00EF415C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548F2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6D4827" w:rsidRPr="006548F2" w14:paraId="54296DDA" w14:textId="77777777" w:rsidTr="006D4827">
        <w:tc>
          <w:tcPr>
            <w:tcW w:w="6205" w:type="dxa"/>
          </w:tcPr>
          <w:p w14:paraId="287DFAFA" w14:textId="7E95E1FE" w:rsidR="006D4827" w:rsidRPr="006548F2" w:rsidRDefault="006D4827" w:rsidP="00EF415C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Provide explicit instruction in specific coping strategies to access during a break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(2x/week)</w:t>
            </w:r>
          </w:p>
        </w:tc>
        <w:tc>
          <w:tcPr>
            <w:tcW w:w="3150" w:type="dxa"/>
          </w:tcPr>
          <w:p w14:paraId="041212B4" w14:textId="403925C7" w:rsidR="006D4827" w:rsidRPr="006548F2" w:rsidRDefault="006D4827" w:rsidP="00EF415C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School counselor</w:t>
            </w:r>
          </w:p>
        </w:tc>
      </w:tr>
      <w:tr w:rsidR="006D4827" w:rsidRPr="006548F2" w14:paraId="134AD9DA" w14:textId="77777777" w:rsidTr="006D4827">
        <w:tc>
          <w:tcPr>
            <w:tcW w:w="6205" w:type="dxa"/>
          </w:tcPr>
          <w:p w14:paraId="546835B6" w14:textId="13453F8C" w:rsidR="006D4827" w:rsidRPr="006548F2" w:rsidRDefault="006D4827" w:rsidP="00EF415C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After mastery, continue regular brief review sessions once per week</w:t>
            </w:r>
          </w:p>
        </w:tc>
        <w:tc>
          <w:tcPr>
            <w:tcW w:w="3150" w:type="dxa"/>
          </w:tcPr>
          <w:p w14:paraId="3CE16813" w14:textId="61A43579" w:rsidR="006D4827" w:rsidRPr="006548F2" w:rsidRDefault="006D4827" w:rsidP="00EF415C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School counselor</w:t>
            </w:r>
          </w:p>
        </w:tc>
      </w:tr>
      <w:tr w:rsidR="006D4827" w:rsidRPr="006548F2" w14:paraId="0498DED9" w14:textId="77777777" w:rsidTr="006D4827">
        <w:tc>
          <w:tcPr>
            <w:tcW w:w="6205" w:type="dxa"/>
          </w:tcPr>
          <w:p w14:paraId="39944BA6" w14:textId="77777777" w:rsidR="006D4827" w:rsidRPr="006548F2" w:rsidRDefault="006D4827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150" w:type="dxa"/>
          </w:tcPr>
          <w:p w14:paraId="0926F5C7" w14:textId="77777777" w:rsidR="006D4827" w:rsidRPr="006548F2" w:rsidRDefault="006D4827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6D4827" w:rsidRPr="006548F2" w14:paraId="04A865A7" w14:textId="77777777" w:rsidTr="006D4827">
        <w:tc>
          <w:tcPr>
            <w:tcW w:w="6205" w:type="dxa"/>
          </w:tcPr>
          <w:p w14:paraId="77A9E832" w14:textId="77777777" w:rsidR="006D4827" w:rsidRPr="006548F2" w:rsidRDefault="006D4827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150" w:type="dxa"/>
          </w:tcPr>
          <w:p w14:paraId="4C3DBD4D" w14:textId="77777777" w:rsidR="006D4827" w:rsidRPr="006548F2" w:rsidRDefault="006D4827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06F97D9D" w14:textId="7612E7B2" w:rsidR="00E87CA3" w:rsidRPr="006548F2" w:rsidRDefault="004550F6" w:rsidP="00FE04EA">
      <w:pPr>
        <w:spacing w:before="240" w:after="60"/>
        <w:ind w:firstLine="0"/>
        <w:rPr>
          <w:rFonts w:ascii="Arial" w:hAnsi="Arial" w:cs="Arial"/>
        </w:rPr>
      </w:pPr>
      <w:r w:rsidRPr="006548F2">
        <w:rPr>
          <w:rFonts w:ascii="Arial" w:hAnsi="Arial" w:cs="Arial"/>
          <w:b/>
          <w:bCs/>
        </w:rPr>
        <w:t>Antecedent-Based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05"/>
        <w:gridCol w:w="3150"/>
      </w:tblGrid>
      <w:tr w:rsidR="006D4827" w:rsidRPr="006548F2" w14:paraId="26BFBE1D" w14:textId="77777777" w:rsidTr="00FE04EA">
        <w:tc>
          <w:tcPr>
            <w:tcW w:w="6205" w:type="dxa"/>
            <w:shd w:val="clear" w:color="auto" w:fill="E8E8E8" w:themeFill="background2"/>
            <w:vAlign w:val="center"/>
          </w:tcPr>
          <w:p w14:paraId="204E0B5F" w14:textId="77777777" w:rsidR="006D4827" w:rsidRPr="006548F2" w:rsidRDefault="006D4827" w:rsidP="00FE04EA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548F2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150" w:type="dxa"/>
            <w:shd w:val="clear" w:color="auto" w:fill="E8E8E8" w:themeFill="background2"/>
            <w:vAlign w:val="center"/>
          </w:tcPr>
          <w:p w14:paraId="6D16FD12" w14:textId="27D19C91" w:rsidR="006D4827" w:rsidRPr="006548F2" w:rsidRDefault="006D4827" w:rsidP="00FE04EA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548F2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6D4827" w:rsidRPr="006548F2" w14:paraId="2B2DBABB" w14:textId="77777777" w:rsidTr="006D4827">
        <w:tc>
          <w:tcPr>
            <w:tcW w:w="6205" w:type="dxa"/>
          </w:tcPr>
          <w:p w14:paraId="24ED3468" w14:textId="47B2056E" w:rsidR="006D4827" w:rsidRPr="006548F2" w:rsidRDefault="006D4827" w:rsidP="00FE04EA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Allow alternatives to written response modes (e.g., oral dictation, typing, demonstration)</w:t>
            </w:r>
          </w:p>
        </w:tc>
        <w:tc>
          <w:tcPr>
            <w:tcW w:w="3150" w:type="dxa"/>
          </w:tcPr>
          <w:p w14:paraId="3B003367" w14:textId="1BE978F6" w:rsidR="006D4827" w:rsidRPr="006548F2" w:rsidRDefault="006D4827" w:rsidP="00FE04EA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6D4827" w:rsidRPr="006548F2" w14:paraId="1B8CA05C" w14:textId="77777777" w:rsidTr="006D4827">
        <w:tc>
          <w:tcPr>
            <w:tcW w:w="6205" w:type="dxa"/>
          </w:tcPr>
          <w:p w14:paraId="14615E85" w14:textId="26CBDEAB" w:rsidR="006D4827" w:rsidRPr="006548F2" w:rsidRDefault="006D4827" w:rsidP="00FE04EA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Provide written assignments broken down into chunks with clear stopping points</w:t>
            </w:r>
          </w:p>
        </w:tc>
        <w:tc>
          <w:tcPr>
            <w:tcW w:w="3150" w:type="dxa"/>
          </w:tcPr>
          <w:p w14:paraId="7673CBD6" w14:textId="5E7CC326" w:rsidR="006D4827" w:rsidRPr="006548F2" w:rsidRDefault="006D4827" w:rsidP="00FE04EA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6D4827" w:rsidRPr="006548F2" w14:paraId="5650E348" w14:textId="77777777" w:rsidTr="006D4827">
        <w:tc>
          <w:tcPr>
            <w:tcW w:w="6205" w:type="dxa"/>
          </w:tcPr>
          <w:p w14:paraId="7CF0A583" w14:textId="762A09B4" w:rsidR="006D4827" w:rsidRPr="006548F2" w:rsidRDefault="006D4827" w:rsidP="00FE04EA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Establish “reset” spaces in various locations (e.g., music practice room, back table in the classroom, counseling office) </w:t>
            </w:r>
          </w:p>
        </w:tc>
        <w:tc>
          <w:tcPr>
            <w:tcW w:w="3150" w:type="dxa"/>
          </w:tcPr>
          <w:p w14:paraId="370A865B" w14:textId="18B2B8EF" w:rsidR="006D4827" w:rsidRPr="006548F2" w:rsidRDefault="006D4827" w:rsidP="00FE04EA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School counselor</w:t>
            </w:r>
          </w:p>
        </w:tc>
      </w:tr>
      <w:tr w:rsidR="006D4827" w:rsidRPr="006548F2" w14:paraId="238EB714" w14:textId="77777777" w:rsidTr="006D4827">
        <w:tc>
          <w:tcPr>
            <w:tcW w:w="6205" w:type="dxa"/>
          </w:tcPr>
          <w:p w14:paraId="782C19CB" w14:textId="59139574" w:rsidR="006D4827" w:rsidRPr="006548F2" w:rsidRDefault="006D4827" w:rsidP="00FE04EA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Remind 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Tasha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of the option to request a break in the “reset” space before independent work begins (e.g., written reminder on a sticky note, established hand signal)</w:t>
            </w:r>
          </w:p>
        </w:tc>
        <w:tc>
          <w:tcPr>
            <w:tcW w:w="3150" w:type="dxa"/>
          </w:tcPr>
          <w:p w14:paraId="4EE67C61" w14:textId="73CAF1DF" w:rsidR="006D4827" w:rsidRPr="006548F2" w:rsidRDefault="006D4827" w:rsidP="00FE04EA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3B794F" w:rsidRPr="006548F2" w14:paraId="6CCCC610" w14:textId="77777777" w:rsidTr="006D4827">
        <w:tc>
          <w:tcPr>
            <w:tcW w:w="6205" w:type="dxa"/>
          </w:tcPr>
          <w:p w14:paraId="3B85DB33" w14:textId="77777777" w:rsidR="003B794F" w:rsidRPr="006548F2" w:rsidRDefault="003B794F" w:rsidP="00121C3B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150" w:type="dxa"/>
          </w:tcPr>
          <w:p w14:paraId="1936F7CA" w14:textId="77777777" w:rsidR="003B794F" w:rsidRPr="006548F2" w:rsidRDefault="003B794F" w:rsidP="00AC256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0123EA5A" w14:textId="77777777" w:rsidR="00EF415C" w:rsidRPr="006548F2" w:rsidRDefault="004550F6" w:rsidP="00C95ACB">
      <w:pPr>
        <w:spacing w:before="240" w:after="60"/>
        <w:ind w:firstLine="0"/>
        <w:rPr>
          <w:rFonts w:ascii="Arial" w:hAnsi="Arial" w:cs="Arial"/>
          <w:b/>
          <w:bCs/>
        </w:rPr>
        <w:sectPr w:rsidR="00EF415C" w:rsidRPr="006548F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548F2">
        <w:rPr>
          <w:rFonts w:ascii="Arial" w:hAnsi="Arial" w:cs="Arial"/>
          <w:b/>
          <w:bCs/>
        </w:rPr>
        <w:t>Reinforcement-Based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05"/>
        <w:gridCol w:w="3150"/>
      </w:tblGrid>
      <w:tr w:rsidR="006D4827" w:rsidRPr="006548F2" w14:paraId="0924C46E" w14:textId="77777777" w:rsidTr="00C95ACB">
        <w:tc>
          <w:tcPr>
            <w:tcW w:w="6205" w:type="dxa"/>
            <w:shd w:val="clear" w:color="auto" w:fill="E8E8E8" w:themeFill="background2"/>
            <w:vAlign w:val="center"/>
          </w:tcPr>
          <w:p w14:paraId="0CE490A9" w14:textId="77777777" w:rsidR="006D4827" w:rsidRPr="006548F2" w:rsidRDefault="006D4827" w:rsidP="00C95ACB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548F2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150" w:type="dxa"/>
            <w:shd w:val="clear" w:color="auto" w:fill="E8E8E8" w:themeFill="background2"/>
            <w:vAlign w:val="center"/>
          </w:tcPr>
          <w:p w14:paraId="378E4989" w14:textId="64F5CBEC" w:rsidR="006D4827" w:rsidRPr="006548F2" w:rsidRDefault="006D4827" w:rsidP="00C95ACB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548F2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6D4827" w:rsidRPr="006548F2" w14:paraId="00BC1889" w14:textId="77777777" w:rsidTr="006D4827">
        <w:tc>
          <w:tcPr>
            <w:tcW w:w="6205" w:type="dxa"/>
          </w:tcPr>
          <w:p w14:paraId="629061DD" w14:textId="067E2AC0" w:rsidR="006D4827" w:rsidRPr="006548F2" w:rsidRDefault="006D4827" w:rsidP="00C95ACB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Provide behavior-specific praise every time 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Tasha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requests a “reset” break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.</w:t>
            </w:r>
          </w:p>
        </w:tc>
        <w:tc>
          <w:tcPr>
            <w:tcW w:w="3150" w:type="dxa"/>
          </w:tcPr>
          <w:p w14:paraId="58073413" w14:textId="3B7C566F" w:rsidR="006D4827" w:rsidRPr="006548F2" w:rsidRDefault="006D4827" w:rsidP="00C95ACB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6D4827" w:rsidRPr="006548F2" w14:paraId="7FE6826B" w14:textId="77777777" w:rsidTr="006D4827">
        <w:tc>
          <w:tcPr>
            <w:tcW w:w="6205" w:type="dxa"/>
          </w:tcPr>
          <w:p w14:paraId="4B05E263" w14:textId="69035B2E" w:rsidR="006D4827" w:rsidRPr="006548F2" w:rsidRDefault="006D4827" w:rsidP="00C95ACB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After each instructional period, 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Tasha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receive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>s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 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>point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if 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s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he used h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er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replacement behavior rather than 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>the target behavior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for at least 75% of the time as estimated by the teacher. Once 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s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he has 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earned </w:t>
            </w:r>
            <w:r w:rsidR="00CC3EA0" w:rsidRPr="006548F2">
              <w:rPr>
                <w:rFonts w:ascii="Arial" w:hAnsi="Arial" w:cs="Arial"/>
                <w:color w:val="215E99" w:themeColor="text2" w:themeTint="BF"/>
                <w:szCs w:val="24"/>
              </w:rPr>
              <w:t>10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points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, 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s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he can cash in h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er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>points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for a reinforcer of h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er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choice from a menu (e.g., 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>extra computer time, music-related privileges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).</w:t>
            </w:r>
          </w:p>
        </w:tc>
        <w:tc>
          <w:tcPr>
            <w:tcW w:w="3150" w:type="dxa"/>
          </w:tcPr>
          <w:p w14:paraId="3BCAC6A9" w14:textId="4C083CFE" w:rsidR="006D4827" w:rsidRPr="006548F2" w:rsidRDefault="006D4827" w:rsidP="00C95ACB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School counselor will create the 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>points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system; all teachers implement</w:t>
            </w:r>
          </w:p>
        </w:tc>
      </w:tr>
      <w:tr w:rsidR="006D4827" w:rsidRPr="006548F2" w14:paraId="489AFD74" w14:textId="77777777" w:rsidTr="006D4827">
        <w:tc>
          <w:tcPr>
            <w:tcW w:w="6205" w:type="dxa"/>
          </w:tcPr>
          <w:p w14:paraId="49263D61" w14:textId="362E8363" w:rsidR="006D4827" w:rsidRPr="006548F2" w:rsidRDefault="006D4827" w:rsidP="00C95ACB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lastRenderedPageBreak/>
              <w:t>Teachers will ignore the target behavior when it is brief and nondisruptive. If the behavior becomes disruptive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or unsafe</w:t>
            </w: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, the teacher will quickly 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prompt </w:t>
            </w:r>
            <w:r w:rsidR="00410369" w:rsidRPr="006548F2">
              <w:rPr>
                <w:rFonts w:ascii="Arial" w:hAnsi="Arial" w:cs="Arial"/>
                <w:color w:val="215E99" w:themeColor="text2" w:themeTint="BF"/>
                <w:szCs w:val="24"/>
              </w:rPr>
              <w:t>Tasha</w:t>
            </w:r>
            <w:r w:rsidR="00C503D2" w:rsidRPr="006548F2">
              <w:rPr>
                <w:rFonts w:ascii="Arial" w:hAnsi="Arial" w:cs="Arial"/>
                <w:color w:val="215E99" w:themeColor="text2" w:themeTint="BF"/>
                <w:szCs w:val="24"/>
              </w:rPr>
              <w:t xml:space="preserve"> to request a break.</w:t>
            </w:r>
          </w:p>
        </w:tc>
        <w:tc>
          <w:tcPr>
            <w:tcW w:w="3150" w:type="dxa"/>
          </w:tcPr>
          <w:p w14:paraId="5B0D8B7A" w14:textId="4131BBCD" w:rsidR="006D4827" w:rsidRPr="006548F2" w:rsidRDefault="006D4827" w:rsidP="00C95ACB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6548F2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6D4827" w:rsidRPr="006548F2" w14:paraId="6FB6D4D5" w14:textId="77777777" w:rsidTr="006D4827">
        <w:tc>
          <w:tcPr>
            <w:tcW w:w="6205" w:type="dxa"/>
          </w:tcPr>
          <w:p w14:paraId="7CFA165E" w14:textId="77777777" w:rsidR="006D4827" w:rsidRPr="006548F2" w:rsidRDefault="006D4827" w:rsidP="00C95ACB">
            <w:pPr>
              <w:spacing w:beforeLines="40" w:before="96" w:afterLines="40" w:after="96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150" w:type="dxa"/>
          </w:tcPr>
          <w:p w14:paraId="2138FC14" w14:textId="77777777" w:rsidR="006D4827" w:rsidRPr="006548F2" w:rsidRDefault="006D4827" w:rsidP="00C95ACB">
            <w:pPr>
              <w:spacing w:beforeLines="40" w:before="96" w:afterLines="40" w:after="96"/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578EF5D6" w14:textId="34186D8B" w:rsidR="00E87CA3" w:rsidRPr="006548F2" w:rsidRDefault="00E87CA3" w:rsidP="006D06D3">
      <w:pPr>
        <w:spacing w:before="24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b/>
          <w:bCs/>
          <w:szCs w:val="24"/>
        </w:rPr>
        <w:t xml:space="preserve">Progress </w:t>
      </w:r>
      <w:r w:rsidR="003B794F" w:rsidRPr="006548F2">
        <w:rPr>
          <w:rFonts w:ascii="Arial" w:hAnsi="Arial" w:cs="Arial"/>
          <w:b/>
          <w:bCs/>
          <w:szCs w:val="24"/>
        </w:rPr>
        <w:t>M</w:t>
      </w:r>
      <w:r w:rsidRPr="006548F2">
        <w:rPr>
          <w:rFonts w:ascii="Arial" w:hAnsi="Arial" w:cs="Arial"/>
          <w:b/>
          <w:bCs/>
          <w:szCs w:val="24"/>
        </w:rPr>
        <w:t xml:space="preserve">onitoring </w:t>
      </w:r>
      <w:r w:rsidR="003B794F" w:rsidRPr="006548F2">
        <w:rPr>
          <w:rFonts w:ascii="Arial" w:hAnsi="Arial" w:cs="Arial"/>
          <w:b/>
          <w:bCs/>
          <w:szCs w:val="24"/>
        </w:rPr>
        <w:t>P</w:t>
      </w:r>
      <w:r w:rsidRPr="006548F2">
        <w:rPr>
          <w:rFonts w:ascii="Arial" w:hAnsi="Arial" w:cs="Arial"/>
          <w:b/>
          <w:bCs/>
          <w:szCs w:val="24"/>
        </w:rPr>
        <w:t>lan</w:t>
      </w:r>
      <w:r w:rsidR="006D06D3" w:rsidRPr="006548F2">
        <w:rPr>
          <w:rFonts w:ascii="Arial" w:hAnsi="Arial" w:cs="Arial"/>
          <w:b/>
          <w:bCs/>
          <w:szCs w:val="24"/>
        </w:rPr>
        <w:t>:</w:t>
      </w:r>
      <w:r w:rsidR="006D4827" w:rsidRPr="006548F2">
        <w:rPr>
          <w:rFonts w:ascii="Arial" w:hAnsi="Arial" w:cs="Arial"/>
          <w:szCs w:val="24"/>
        </w:rPr>
        <w:t xml:space="preserve"> </w:t>
      </w:r>
      <w:r w:rsidR="00410369" w:rsidRPr="006548F2">
        <w:rPr>
          <w:rFonts w:ascii="Arial" w:hAnsi="Arial" w:cs="Arial"/>
          <w:color w:val="215E99" w:themeColor="text2" w:themeTint="BF"/>
          <w:szCs w:val="24"/>
        </w:rPr>
        <w:t>Tasha</w:t>
      </w:r>
      <w:r w:rsidR="006D4827" w:rsidRPr="006548F2">
        <w:rPr>
          <w:rFonts w:ascii="Arial" w:hAnsi="Arial" w:cs="Arial"/>
          <w:color w:val="215E99" w:themeColor="text2" w:themeTint="BF"/>
          <w:szCs w:val="24"/>
        </w:rPr>
        <w:t>’s use of the replacement behavior will be tracked using DBR. At the end of each instructional period, the teacher estimate</w:t>
      </w:r>
      <w:r w:rsidR="00C503D2" w:rsidRPr="006548F2">
        <w:rPr>
          <w:rFonts w:ascii="Arial" w:hAnsi="Arial" w:cs="Arial"/>
          <w:color w:val="215E99" w:themeColor="text2" w:themeTint="BF"/>
          <w:szCs w:val="24"/>
        </w:rPr>
        <w:t>s</w:t>
      </w:r>
      <w:r w:rsidR="006D4827" w:rsidRPr="006548F2">
        <w:rPr>
          <w:rFonts w:ascii="Arial" w:hAnsi="Arial" w:cs="Arial"/>
          <w:color w:val="215E99" w:themeColor="text2" w:themeTint="BF"/>
          <w:szCs w:val="24"/>
        </w:rPr>
        <w:t xml:space="preserve"> the percentage of time </w:t>
      </w:r>
      <w:r w:rsidR="00410369" w:rsidRPr="006548F2">
        <w:rPr>
          <w:rFonts w:ascii="Arial" w:hAnsi="Arial" w:cs="Arial"/>
          <w:color w:val="215E99" w:themeColor="text2" w:themeTint="BF"/>
          <w:szCs w:val="24"/>
        </w:rPr>
        <w:t>Tasha</w:t>
      </w:r>
      <w:r w:rsidR="006D4827" w:rsidRPr="006548F2">
        <w:rPr>
          <w:rFonts w:ascii="Arial" w:hAnsi="Arial" w:cs="Arial"/>
          <w:color w:val="215E99" w:themeColor="text2" w:themeTint="BF"/>
          <w:szCs w:val="24"/>
        </w:rPr>
        <w:t xml:space="preserve"> used h</w:t>
      </w:r>
      <w:r w:rsidR="00410369" w:rsidRPr="006548F2">
        <w:rPr>
          <w:rFonts w:ascii="Arial" w:hAnsi="Arial" w:cs="Arial"/>
          <w:color w:val="215E99" w:themeColor="text2" w:themeTint="BF"/>
          <w:szCs w:val="24"/>
        </w:rPr>
        <w:t>er</w:t>
      </w:r>
      <w:r w:rsidR="006D4827" w:rsidRPr="006548F2">
        <w:rPr>
          <w:rFonts w:ascii="Arial" w:hAnsi="Arial" w:cs="Arial"/>
          <w:color w:val="215E99" w:themeColor="text2" w:themeTint="BF"/>
          <w:szCs w:val="24"/>
        </w:rPr>
        <w:t xml:space="preserve"> replacement behavior instead of engaging in off-task actions</w:t>
      </w:r>
      <w:r w:rsidR="00C503D2" w:rsidRPr="006548F2">
        <w:rPr>
          <w:rFonts w:ascii="Arial" w:hAnsi="Arial" w:cs="Arial"/>
          <w:color w:val="215E99" w:themeColor="text2" w:themeTint="BF"/>
          <w:szCs w:val="24"/>
        </w:rPr>
        <w:t xml:space="preserve"> and marks it on a recording form.</w:t>
      </w:r>
    </w:p>
    <w:p w14:paraId="144A3497" w14:textId="594862CF" w:rsidR="00E87CA3" w:rsidRPr="006548F2" w:rsidRDefault="00E87CA3" w:rsidP="006D06D3">
      <w:pPr>
        <w:spacing w:before="24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b/>
          <w:bCs/>
          <w:szCs w:val="24"/>
        </w:rPr>
        <w:t xml:space="preserve">Crisis </w:t>
      </w:r>
      <w:r w:rsidR="003B794F" w:rsidRPr="006548F2">
        <w:rPr>
          <w:rFonts w:ascii="Arial" w:hAnsi="Arial" w:cs="Arial"/>
          <w:b/>
          <w:bCs/>
          <w:szCs w:val="24"/>
        </w:rPr>
        <w:t>P</w:t>
      </w:r>
      <w:r w:rsidRPr="006548F2">
        <w:rPr>
          <w:rFonts w:ascii="Arial" w:hAnsi="Arial" w:cs="Arial"/>
          <w:b/>
          <w:bCs/>
          <w:szCs w:val="24"/>
        </w:rPr>
        <w:t>lan</w:t>
      </w:r>
      <w:r w:rsidRPr="006548F2">
        <w:rPr>
          <w:rFonts w:ascii="Arial" w:hAnsi="Arial" w:cs="Arial"/>
          <w:szCs w:val="24"/>
        </w:rPr>
        <w:t xml:space="preserve"> </w:t>
      </w:r>
      <w:r w:rsidRPr="006548F2">
        <w:rPr>
          <w:rFonts w:ascii="Arial" w:hAnsi="Arial" w:cs="Arial"/>
          <w:b/>
          <w:bCs/>
          <w:szCs w:val="24"/>
        </w:rPr>
        <w:t>(if necessary)</w:t>
      </w:r>
      <w:r w:rsidR="00C9624A" w:rsidRPr="006548F2">
        <w:rPr>
          <w:rFonts w:ascii="Arial" w:hAnsi="Arial" w:cs="Arial"/>
          <w:b/>
          <w:bCs/>
          <w:szCs w:val="24"/>
        </w:rPr>
        <w:t>:</w:t>
      </w:r>
      <w:r w:rsidR="00C503D2" w:rsidRPr="006548F2">
        <w:rPr>
          <w:rFonts w:ascii="Arial" w:hAnsi="Arial" w:cs="Arial"/>
          <w:szCs w:val="24"/>
        </w:rPr>
        <w:t xml:space="preserve"> </w:t>
      </w:r>
      <w:r w:rsidR="00C503D2" w:rsidRPr="006548F2">
        <w:rPr>
          <w:rFonts w:ascii="Arial" w:hAnsi="Arial" w:cs="Arial"/>
          <w:color w:val="215E99" w:themeColor="text2" w:themeTint="BF"/>
          <w:szCs w:val="24"/>
        </w:rPr>
        <w:t>n/a</w:t>
      </w:r>
    </w:p>
    <w:p w14:paraId="76B1C4AA" w14:textId="2D3AD021" w:rsidR="00C9624A" w:rsidRPr="006548F2" w:rsidRDefault="00C9624A" w:rsidP="006D06D3">
      <w:pPr>
        <w:spacing w:before="240"/>
        <w:ind w:firstLine="0"/>
        <w:rPr>
          <w:rFonts w:ascii="Arial" w:hAnsi="Arial" w:cs="Arial"/>
          <w:szCs w:val="24"/>
        </w:rPr>
      </w:pPr>
      <w:r w:rsidRPr="006548F2">
        <w:rPr>
          <w:rFonts w:ascii="Arial" w:hAnsi="Arial" w:cs="Arial"/>
          <w:b/>
          <w:bCs/>
          <w:szCs w:val="24"/>
        </w:rPr>
        <w:t>Next Proposed Review Date</w:t>
      </w:r>
      <w:r w:rsidR="006D06D3" w:rsidRPr="006548F2">
        <w:rPr>
          <w:rFonts w:ascii="Arial" w:hAnsi="Arial" w:cs="Arial"/>
          <w:b/>
          <w:bCs/>
          <w:szCs w:val="24"/>
        </w:rPr>
        <w:t>:</w:t>
      </w:r>
      <w:r w:rsidRPr="006548F2">
        <w:rPr>
          <w:rFonts w:ascii="Arial" w:hAnsi="Arial" w:cs="Arial"/>
          <w:szCs w:val="24"/>
        </w:rPr>
        <w:t xml:space="preserve"> </w:t>
      </w:r>
      <w:r w:rsidR="00267C38">
        <w:rPr>
          <w:rFonts w:ascii="Arial" w:hAnsi="Arial" w:cs="Arial"/>
          <w:color w:val="215E99" w:themeColor="text2" w:themeTint="BF"/>
          <w:szCs w:val="24"/>
        </w:rPr>
        <w:t>11</w:t>
      </w:r>
      <w:r w:rsidR="00CC3DAD" w:rsidRPr="006548F2">
        <w:rPr>
          <w:rFonts w:ascii="Arial" w:hAnsi="Arial" w:cs="Arial"/>
          <w:color w:val="215E99" w:themeColor="text2" w:themeTint="BF"/>
          <w:szCs w:val="24"/>
        </w:rPr>
        <w:t>/2</w:t>
      </w:r>
      <w:r w:rsidR="00267C38">
        <w:rPr>
          <w:rFonts w:ascii="Arial" w:hAnsi="Arial" w:cs="Arial"/>
          <w:color w:val="215E99" w:themeColor="text2" w:themeTint="BF"/>
          <w:szCs w:val="24"/>
        </w:rPr>
        <w:t>2</w:t>
      </w:r>
      <w:r w:rsidR="00CC3DAD" w:rsidRPr="006548F2">
        <w:rPr>
          <w:rFonts w:ascii="Arial" w:hAnsi="Arial" w:cs="Arial"/>
          <w:color w:val="215E99" w:themeColor="text2" w:themeTint="BF"/>
          <w:szCs w:val="24"/>
        </w:rPr>
        <w:t>/20</w:t>
      </w:r>
      <w:r w:rsidR="00C503D2" w:rsidRPr="006548F2">
        <w:rPr>
          <w:rFonts w:ascii="Arial" w:hAnsi="Arial" w:cs="Arial"/>
          <w:color w:val="215E99" w:themeColor="text2" w:themeTint="BF"/>
          <w:szCs w:val="24"/>
        </w:rPr>
        <w:t>XX</w:t>
      </w:r>
      <w:r w:rsidR="003B794F" w:rsidRPr="006548F2">
        <w:rPr>
          <w:rFonts w:ascii="Arial" w:hAnsi="Arial" w:cs="Arial"/>
          <w:color w:val="215E99" w:themeColor="text2" w:themeTint="BF"/>
          <w:szCs w:val="24"/>
        </w:rPr>
        <w:tab/>
      </w:r>
    </w:p>
    <w:p w14:paraId="55192F8A" w14:textId="77777777" w:rsidR="00C9624A" w:rsidRPr="006548F2" w:rsidRDefault="00C9624A" w:rsidP="00E87CA3">
      <w:pPr>
        <w:ind w:firstLine="0"/>
        <w:rPr>
          <w:rFonts w:ascii="Arial" w:hAnsi="Arial" w:cs="Arial"/>
          <w:szCs w:val="24"/>
        </w:rPr>
      </w:pPr>
    </w:p>
    <w:p w14:paraId="5205C64C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6E747AAC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7607769D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1ADD4CA7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42F9C4AB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6494B7B0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17AAFFE0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707F0680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4DA8E73F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47268994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301A95D2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1B3DCCEF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690F3D82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07EF845A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63A0CD7D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0C8079CF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69756D0B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699D2867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7341F595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31DD865F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22658CA9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0BA2EF0F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63E85DEB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006A2CF0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3F47752A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0284DFCD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69979BEE" w14:textId="77777777" w:rsidR="006D06D3" w:rsidRPr="006548F2" w:rsidRDefault="006D06D3" w:rsidP="00E87CA3">
      <w:pPr>
        <w:ind w:firstLine="0"/>
        <w:rPr>
          <w:rFonts w:ascii="Arial" w:hAnsi="Arial" w:cs="Arial"/>
          <w:szCs w:val="24"/>
        </w:rPr>
      </w:pPr>
    </w:p>
    <w:p w14:paraId="45A396D9" w14:textId="6B1E136F" w:rsidR="00C9624A" w:rsidRPr="006548F2" w:rsidRDefault="006B427A" w:rsidP="00E87CA3">
      <w:pPr>
        <w:ind w:firstLine="0"/>
        <w:rPr>
          <w:rFonts w:ascii="Arial" w:hAnsi="Arial" w:cs="Arial"/>
          <w:i/>
          <w:iCs/>
          <w:color w:val="000000" w:themeColor="text1"/>
        </w:rPr>
      </w:pPr>
      <w:r w:rsidRPr="006548F2">
        <w:rPr>
          <w:rFonts w:ascii="Arial" w:hAnsi="Arial" w:cs="Arial"/>
          <w:i/>
          <w:iCs/>
        </w:rPr>
        <w:t xml:space="preserve">This behavioral intervention plan was adapted from </w:t>
      </w:r>
      <w:hyperlink r:id="rId8" w:history="1">
        <w:r w:rsidRPr="006548F2">
          <w:rPr>
            <w:rStyle w:val="Hyperlink"/>
            <w:rFonts w:ascii="Arial" w:hAnsi="Arial" w:cs="Arial"/>
            <w:i/>
            <w:iCs/>
            <w:color w:val="3F0983"/>
          </w:rPr>
          <w:t>Alberto et al. (2022)</w:t>
        </w:r>
      </w:hyperlink>
      <w:r w:rsidRPr="006548F2">
        <w:rPr>
          <w:rFonts w:ascii="Arial" w:hAnsi="Arial" w:cs="Arial"/>
          <w:i/>
          <w:iCs/>
        </w:rPr>
        <w:t xml:space="preserve">, </w:t>
      </w:r>
      <w:hyperlink r:id="rId9" w:history="1">
        <w:r w:rsidRPr="006548F2">
          <w:rPr>
            <w:rStyle w:val="Hyperlink"/>
            <w:rFonts w:ascii="Arial" w:hAnsi="Arial" w:cs="Arial"/>
            <w:i/>
            <w:iCs/>
            <w:color w:val="3F0983"/>
          </w:rPr>
          <w:t>CT Government (n.d.)</w:t>
        </w:r>
      </w:hyperlink>
      <w:r w:rsidRPr="006548F2">
        <w:rPr>
          <w:rFonts w:ascii="Arial" w:hAnsi="Arial" w:cs="Arial"/>
          <w:i/>
          <w:iCs/>
        </w:rPr>
        <w:t xml:space="preserve">, </w:t>
      </w:r>
      <w:hyperlink r:id="rId10" w:history="1">
        <w:r w:rsidRPr="006548F2">
          <w:rPr>
            <w:rStyle w:val="Hyperlink"/>
            <w:rFonts w:ascii="Arial" w:hAnsi="Arial" w:cs="Arial"/>
            <w:i/>
            <w:iCs/>
            <w:color w:val="3F0983"/>
          </w:rPr>
          <w:t>Idaho SESTA</w:t>
        </w:r>
      </w:hyperlink>
      <w:r w:rsidRPr="006548F2">
        <w:rPr>
          <w:rFonts w:ascii="Arial" w:hAnsi="Arial" w:cs="Arial"/>
          <w:i/>
          <w:iCs/>
        </w:rPr>
        <w:t xml:space="preserve">, and </w:t>
      </w:r>
      <w:hyperlink r:id="rId11" w:history="1">
        <w:r w:rsidRPr="006548F2">
          <w:rPr>
            <w:rStyle w:val="Hyperlink"/>
            <w:rFonts w:ascii="Arial" w:hAnsi="Arial" w:cs="Arial"/>
            <w:i/>
            <w:iCs/>
            <w:color w:val="3F0983"/>
            <w:shd w:val="clear" w:color="auto" w:fill="FFFFFF"/>
          </w:rPr>
          <w:t>Missouri Department of Elementary and Secondary Education (2018)</w:t>
        </w:r>
      </w:hyperlink>
      <w:r w:rsidRPr="006548F2">
        <w:rPr>
          <w:rFonts w:ascii="Arial" w:hAnsi="Arial" w:cs="Arial"/>
          <w:i/>
          <w:iCs/>
          <w:color w:val="3F0983"/>
          <w:shd w:val="clear" w:color="auto" w:fill="FFFFFF"/>
        </w:rPr>
        <w:t>.</w:t>
      </w:r>
    </w:p>
    <w:sectPr w:rsidR="00C9624A" w:rsidRPr="006548F2" w:rsidSect="00EF415C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B5C3" w14:textId="77777777" w:rsidR="00FC7605" w:rsidRDefault="00FC7605" w:rsidP="004550F6">
      <w:r>
        <w:separator/>
      </w:r>
    </w:p>
  </w:endnote>
  <w:endnote w:type="continuationSeparator" w:id="0">
    <w:p w14:paraId="527EFBCA" w14:textId="77777777" w:rsidR="00FC7605" w:rsidRDefault="00FC7605" w:rsidP="0045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DDD4" w14:textId="77777777" w:rsidR="004550F6" w:rsidRDefault="004550F6" w:rsidP="00EF415C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F5DF" w14:textId="35A1EDED" w:rsidR="00EF415C" w:rsidRDefault="00850BF6" w:rsidP="00850B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B629B" wp14:editId="313E5782">
              <wp:simplePos x="0" y="0"/>
              <wp:positionH relativeFrom="column">
                <wp:posOffset>1212850</wp:posOffset>
              </wp:positionH>
              <wp:positionV relativeFrom="paragraph">
                <wp:posOffset>-214630</wp:posOffset>
              </wp:positionV>
              <wp:extent cx="5157470" cy="430530"/>
              <wp:effectExtent l="0" t="0" r="0" b="0"/>
              <wp:wrapNone/>
              <wp:docPr id="191285883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DFC788" w14:textId="77777777" w:rsidR="00EF415C" w:rsidRPr="008B0C8D" w:rsidRDefault="00EF415C" w:rsidP="004550F6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4FF65DC9" w14:textId="77777777" w:rsidR="00EF415C" w:rsidRPr="008B0C8D" w:rsidRDefault="00EF415C" w:rsidP="004550F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B62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5.5pt;margin-top:-16.9pt;width:406.1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" filled="f" stroked="f" strokeweight=".5pt">
              <v:textbox>
                <w:txbxContent>
                  <w:p w14:paraId="1CDFC788" w14:textId="77777777" w:rsidR="00EF415C" w:rsidRPr="008B0C8D" w:rsidRDefault="00EF415C" w:rsidP="004550F6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4FF65DC9" w14:textId="77777777" w:rsidR="00EF415C" w:rsidRPr="008B0C8D" w:rsidRDefault="00EF415C" w:rsidP="004550F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E05DF2C" wp14:editId="0AF69853">
          <wp:simplePos x="0" y="0"/>
          <wp:positionH relativeFrom="column">
            <wp:posOffset>740410</wp:posOffset>
          </wp:positionH>
          <wp:positionV relativeFrom="paragraph">
            <wp:posOffset>-199390</wp:posOffset>
          </wp:positionV>
          <wp:extent cx="409575" cy="342900"/>
          <wp:effectExtent l="0" t="0" r="0" b="0"/>
          <wp:wrapNone/>
          <wp:docPr id="199493263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7456" behindDoc="1" locked="0" layoutInCell="1" allowOverlap="1" wp14:anchorId="75495FD9" wp14:editId="07AB34F8">
          <wp:simplePos x="0" y="0"/>
          <wp:positionH relativeFrom="column">
            <wp:posOffset>-537845</wp:posOffset>
          </wp:positionH>
          <wp:positionV relativeFrom="paragraph">
            <wp:posOffset>-180958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1127165585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15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BF4781" wp14:editId="7326D582">
              <wp:simplePos x="0" y="0"/>
              <wp:positionH relativeFrom="margin">
                <wp:posOffset>-564515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183234189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32C93" id="Line 3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3FF5" w14:textId="77777777" w:rsidR="00FC7605" w:rsidRDefault="00FC7605" w:rsidP="004550F6">
      <w:r>
        <w:separator/>
      </w:r>
    </w:p>
  </w:footnote>
  <w:footnote w:type="continuationSeparator" w:id="0">
    <w:p w14:paraId="49C64612" w14:textId="77777777" w:rsidR="00FC7605" w:rsidRDefault="00FC7605" w:rsidP="0045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2C7"/>
    <w:multiLevelType w:val="hybridMultilevel"/>
    <w:tmpl w:val="F0B60F7C"/>
    <w:lvl w:ilvl="0" w:tplc="72EC5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62F"/>
    <w:multiLevelType w:val="hybridMultilevel"/>
    <w:tmpl w:val="1D9A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5030"/>
    <w:multiLevelType w:val="hybridMultilevel"/>
    <w:tmpl w:val="2DDA8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BB4"/>
    <w:multiLevelType w:val="hybridMultilevel"/>
    <w:tmpl w:val="33D2565C"/>
    <w:lvl w:ilvl="0" w:tplc="72EC5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0AFF"/>
    <w:multiLevelType w:val="hybridMultilevel"/>
    <w:tmpl w:val="29E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1075D"/>
    <w:multiLevelType w:val="hybridMultilevel"/>
    <w:tmpl w:val="28EEBBF0"/>
    <w:lvl w:ilvl="0" w:tplc="858838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B31DC"/>
    <w:multiLevelType w:val="hybridMultilevel"/>
    <w:tmpl w:val="73CE2D3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2138643400">
    <w:abstractNumId w:val="0"/>
  </w:num>
  <w:num w:numId="2" w16cid:durableId="1687293025">
    <w:abstractNumId w:val="3"/>
  </w:num>
  <w:num w:numId="3" w16cid:durableId="1474323522">
    <w:abstractNumId w:val="1"/>
  </w:num>
  <w:num w:numId="4" w16cid:durableId="474613347">
    <w:abstractNumId w:val="5"/>
  </w:num>
  <w:num w:numId="5" w16cid:durableId="713429078">
    <w:abstractNumId w:val="6"/>
  </w:num>
  <w:num w:numId="6" w16cid:durableId="227109990">
    <w:abstractNumId w:val="4"/>
  </w:num>
  <w:num w:numId="7" w16cid:durableId="44716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3"/>
    <w:rsid w:val="0000603D"/>
    <w:rsid w:val="00050B51"/>
    <w:rsid w:val="00121C3B"/>
    <w:rsid w:val="001503A0"/>
    <w:rsid w:val="00150E8A"/>
    <w:rsid w:val="001B73C7"/>
    <w:rsid w:val="00237F40"/>
    <w:rsid w:val="00255923"/>
    <w:rsid w:val="00267C38"/>
    <w:rsid w:val="0029244C"/>
    <w:rsid w:val="00294F16"/>
    <w:rsid w:val="002A0BE9"/>
    <w:rsid w:val="003237E7"/>
    <w:rsid w:val="00377925"/>
    <w:rsid w:val="00385F51"/>
    <w:rsid w:val="003B794F"/>
    <w:rsid w:val="00410369"/>
    <w:rsid w:val="004550F6"/>
    <w:rsid w:val="00503774"/>
    <w:rsid w:val="005C0E34"/>
    <w:rsid w:val="005E02F0"/>
    <w:rsid w:val="006548F2"/>
    <w:rsid w:val="00692D9B"/>
    <w:rsid w:val="006B427A"/>
    <w:rsid w:val="006D06D3"/>
    <w:rsid w:val="006D4827"/>
    <w:rsid w:val="00701962"/>
    <w:rsid w:val="00715935"/>
    <w:rsid w:val="007A35AC"/>
    <w:rsid w:val="007F4CDB"/>
    <w:rsid w:val="0080544C"/>
    <w:rsid w:val="008212DD"/>
    <w:rsid w:val="00850BF6"/>
    <w:rsid w:val="00A0207A"/>
    <w:rsid w:val="00A03D19"/>
    <w:rsid w:val="00A5407C"/>
    <w:rsid w:val="00AD1C0C"/>
    <w:rsid w:val="00AD6373"/>
    <w:rsid w:val="00AE4ABB"/>
    <w:rsid w:val="00AE7733"/>
    <w:rsid w:val="00B1346C"/>
    <w:rsid w:val="00BF71C9"/>
    <w:rsid w:val="00C503D2"/>
    <w:rsid w:val="00C95ACB"/>
    <w:rsid w:val="00C9624A"/>
    <w:rsid w:val="00CC3DAD"/>
    <w:rsid w:val="00CC3EA0"/>
    <w:rsid w:val="00CF1394"/>
    <w:rsid w:val="00D3072F"/>
    <w:rsid w:val="00D36978"/>
    <w:rsid w:val="00DB2F35"/>
    <w:rsid w:val="00DD1872"/>
    <w:rsid w:val="00E54432"/>
    <w:rsid w:val="00E650A4"/>
    <w:rsid w:val="00E87CA3"/>
    <w:rsid w:val="00EC0F59"/>
    <w:rsid w:val="00EF16F6"/>
    <w:rsid w:val="00EF415C"/>
    <w:rsid w:val="00EF44C7"/>
    <w:rsid w:val="00F34DDF"/>
    <w:rsid w:val="00F4026C"/>
    <w:rsid w:val="00F56D64"/>
    <w:rsid w:val="00F92B48"/>
    <w:rsid w:val="00FB543B"/>
    <w:rsid w:val="00FC7605"/>
    <w:rsid w:val="00FE04EA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A5C93"/>
  <w15:chartTrackingRefBased/>
  <w15:docId w15:val="{C1C61BD6-8A49-4C9F-826B-F212265A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6C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6C"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6C"/>
    <w:pPr>
      <w:ind w:firstLine="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026C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C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C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C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C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6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26C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26C"/>
    <w:rPr>
      <w:rFonts w:ascii="Times New Roman" w:hAnsi="Times New Roman"/>
      <w:b/>
      <w:bCs/>
      <w:i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CA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CA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CA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CA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CA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CA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7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A3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CA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87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CA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87C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4C7"/>
    <w:pPr>
      <w:spacing w:after="160"/>
      <w:ind w:firstLine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872"/>
    <w:pPr>
      <w:spacing w:after="0"/>
      <w:ind w:firstLine="72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872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5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0F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55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0F6"/>
    <w:rPr>
      <w:rFonts w:ascii="Times New Roman" w:hAnsi="Times New Roman"/>
      <w:sz w:val="24"/>
    </w:rPr>
  </w:style>
  <w:style w:type="paragraph" w:customStyle="1" w:styleId="Disclaimer">
    <w:name w:val="Disclaimer"/>
    <w:basedOn w:val="Normal"/>
    <w:qFormat/>
    <w:rsid w:val="004550F6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com/en-us/subject-catalog/p/applied-behavior-analysis-for-teachers/P200000000718/97801356061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bismissouri.org/wp-content/uploads/2018/08/Tier-3-2018_Ch.-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de.idaho.gov/sped/sped-forms/files/iep/Behavior-Intervention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-/media/sde/publications/edguide/behaviorinterventionplanandmodelform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McNeill Lukins</dc:creator>
  <cp:keywords/>
  <dc:description/>
  <cp:lastModifiedBy>Price, Sarah N</cp:lastModifiedBy>
  <cp:revision>18</cp:revision>
  <dcterms:created xsi:type="dcterms:W3CDTF">2025-05-13T14:14:00Z</dcterms:created>
  <dcterms:modified xsi:type="dcterms:W3CDTF">2025-06-11T19:05:00Z</dcterms:modified>
</cp:coreProperties>
</file>